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eastAsia="黑体"/>
          <w:sz w:val="36"/>
        </w:rPr>
      </w:pPr>
    </w:p>
    <w:p>
      <w:pPr>
        <w:pStyle w:val="17"/>
        <w:adjustRightInd w:val="0"/>
        <w:snapToGrid w:val="0"/>
        <w:spacing w:beforeLines="50" w:beforeAutospacing="0" w:afterLines="50" w:afterAutospacing="0"/>
        <w:rPr>
          <w:rFonts w:ascii="黑体" w:eastAsia="黑体"/>
          <w:bCs/>
          <w:kern w:val="2"/>
          <w:sz w:val="36"/>
          <w:szCs w:val="36"/>
        </w:rPr>
      </w:pPr>
    </w:p>
    <w:p>
      <w:pPr>
        <w:pStyle w:val="17"/>
        <w:adjustRightInd w:val="0"/>
        <w:snapToGrid w:val="0"/>
        <w:spacing w:beforeLines="50" w:beforeAutospacing="0" w:afterLines="50" w:afterAutospacing="0"/>
        <w:jc w:val="center"/>
        <w:rPr>
          <w:rFonts w:ascii="黑体" w:eastAsia="黑体"/>
          <w:bCs/>
          <w:kern w:val="2"/>
          <w:sz w:val="36"/>
          <w:szCs w:val="36"/>
        </w:rPr>
      </w:pPr>
    </w:p>
    <w:p>
      <w:pPr>
        <w:pStyle w:val="17"/>
        <w:adjustRightInd w:val="0"/>
        <w:snapToGrid w:val="0"/>
        <w:spacing w:beforeLines="50" w:beforeAutospacing="0" w:afterLines="50" w:afterAutospacing="0"/>
        <w:rPr>
          <w:rFonts w:ascii="黑体" w:eastAsia="黑体"/>
          <w:bCs/>
          <w:kern w:val="2"/>
          <w:sz w:val="36"/>
          <w:szCs w:val="36"/>
        </w:rPr>
      </w:pPr>
    </w:p>
    <w:p>
      <w:pPr>
        <w:pStyle w:val="17"/>
        <w:adjustRightInd w:val="0"/>
        <w:snapToGrid w:val="0"/>
        <w:spacing w:beforeLines="50" w:beforeAutospacing="0" w:afterLines="50" w:afterAutospacing="0"/>
        <w:jc w:val="center"/>
        <w:rPr>
          <w:rFonts w:ascii="黑体" w:eastAsia="黑体"/>
          <w:bCs/>
          <w:kern w:val="2"/>
          <w:sz w:val="44"/>
          <w:szCs w:val="44"/>
        </w:rPr>
      </w:pPr>
      <w:r>
        <w:rPr>
          <w:rFonts w:hint="eastAsia" w:ascii="黑体" w:eastAsia="黑体"/>
          <w:bCs/>
          <w:kern w:val="2"/>
          <w:sz w:val="44"/>
          <w:szCs w:val="44"/>
        </w:rPr>
        <w:t>浙江长兴求是膜技术有限公司</w:t>
      </w:r>
    </w:p>
    <w:p>
      <w:pPr>
        <w:pStyle w:val="17"/>
        <w:adjustRightInd w:val="0"/>
        <w:snapToGrid w:val="0"/>
        <w:spacing w:beforeLines="50" w:beforeAutospacing="0" w:afterLines="50" w:afterAutospacing="0"/>
        <w:jc w:val="center"/>
        <w:rPr>
          <w:rFonts w:ascii="黑体" w:eastAsia="黑体"/>
          <w:bCs/>
          <w:kern w:val="2"/>
          <w:sz w:val="44"/>
          <w:szCs w:val="44"/>
        </w:rPr>
      </w:pPr>
      <w:r>
        <w:rPr>
          <w:rFonts w:hint="eastAsia" w:ascii="黑体" w:eastAsia="黑体"/>
          <w:bCs/>
          <w:kern w:val="2"/>
          <w:sz w:val="44"/>
          <w:szCs w:val="44"/>
        </w:rPr>
        <w:t>202</w:t>
      </w:r>
      <w:r>
        <w:rPr>
          <w:rFonts w:hint="eastAsia" w:ascii="黑体" w:eastAsia="黑体"/>
          <w:bCs/>
          <w:kern w:val="2"/>
          <w:sz w:val="44"/>
          <w:szCs w:val="44"/>
          <w:lang w:val="en-US" w:eastAsia="zh-CN"/>
        </w:rPr>
        <w:t>3</w:t>
      </w:r>
      <w:r>
        <w:rPr>
          <w:rFonts w:hint="eastAsia" w:ascii="黑体" w:eastAsia="黑体"/>
          <w:bCs/>
          <w:kern w:val="2"/>
          <w:sz w:val="44"/>
          <w:szCs w:val="44"/>
        </w:rPr>
        <w:t>年度</w:t>
      </w:r>
      <w:r>
        <w:rPr>
          <w:rFonts w:hint="eastAsia" w:ascii="黑体" w:eastAsia="黑体"/>
          <w:sz w:val="44"/>
          <w:szCs w:val="44"/>
        </w:rPr>
        <w:t>履行</w:t>
      </w:r>
      <w:r>
        <w:rPr>
          <w:rFonts w:hint="eastAsia" w:ascii="黑体" w:eastAsia="黑体"/>
          <w:bCs/>
          <w:kern w:val="2"/>
          <w:sz w:val="44"/>
          <w:szCs w:val="44"/>
        </w:rPr>
        <w:t>社会责任的报告</w:t>
      </w: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rPr>
          <w:rFonts w:ascii="仿宋_GB2312" w:eastAsia="仿宋_GB2312"/>
          <w:b/>
          <w:sz w:val="24"/>
        </w:rPr>
      </w:pPr>
    </w:p>
    <w:p>
      <w:pPr>
        <w:jc w:val="center"/>
        <w:rPr>
          <w:rFonts w:ascii="仿宋_GB2312" w:eastAsia="仿宋_GB2312"/>
          <w:b/>
          <w:sz w:val="28"/>
          <w:szCs w:val="28"/>
        </w:rPr>
      </w:pPr>
      <w:r>
        <w:rPr>
          <w:rFonts w:hint="eastAsia" w:ascii="仿宋_GB2312" w:eastAsia="仿宋_GB2312"/>
          <w:b/>
          <w:sz w:val="28"/>
          <w:szCs w:val="28"/>
        </w:rPr>
        <w:t>重要提示</w:t>
      </w:r>
    </w:p>
    <w:p>
      <w:pPr>
        <w:jc w:val="center"/>
        <w:rPr>
          <w:rFonts w:ascii="仿宋_GB2312" w:eastAsia="仿宋_GB2312"/>
          <w:b/>
          <w:sz w:val="28"/>
          <w:szCs w:val="28"/>
        </w:rPr>
      </w:pPr>
    </w:p>
    <w:p>
      <w:pPr>
        <w:jc w:val="center"/>
        <w:rPr>
          <w:rFonts w:ascii="仿宋_GB2312" w:eastAsia="仿宋_GB2312"/>
          <w:b/>
          <w:sz w:val="28"/>
          <w:szCs w:val="28"/>
          <w:u w:val="single"/>
        </w:rPr>
      </w:pPr>
      <w:r>
        <w:rPr>
          <w:rFonts w:ascii="仿宋_GB2312" w:eastAsia="仿宋_GB2312"/>
          <w:b/>
          <w:sz w:val="28"/>
          <w:szCs w:val="28"/>
          <w:u w:val="single"/>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27940</wp:posOffset>
                </wp:positionV>
                <wp:extent cx="5486400" cy="0"/>
                <wp:effectExtent l="0" t="4445" r="0" b="5080"/>
                <wp:wrapNone/>
                <wp:docPr id="1" name="直线 8"/>
                <wp:cNvGraphicFramePr/>
                <a:graphic xmlns:a="http://schemas.openxmlformats.org/drawingml/2006/main">
                  <a:graphicData uri="http://schemas.microsoft.com/office/word/2010/wordprocessingShape">
                    <wps:wsp>
                      <wps:cNvCnPr/>
                      <wps:spPr>
                        <a:xfrm>
                          <a:off x="0" y="0"/>
                          <a:ext cx="54864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8" o:spid="_x0000_s1026" o:spt="20" style="position:absolute;left:0pt;margin-left:-9pt;margin-top:2.2pt;height:0pt;width:432pt;z-index:251659264;mso-width-relative:page;mso-height-relative:page;" filled="f" stroked="t" coordsize="21600,21600" o:gfxdata="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Jg9hfUAAAA&#10;BwEAAA8AAAAAAAAAAQAgAAAAIgAAAGRycy9kb3ducmV2LnhtbFBLAQIUABQAAAAIAIdO4kAJNJzj&#10;6AEAANsDAAAOAAAAAAAAAAEAIAAAACMBAABkcnMvZTJvRG9jLnhtbFBLBQYAAAAABgAGAFkBAAB9&#10;BQAAAAA=&#10;">
                <v:fill on="f" focussize="0,0"/>
                <v:stroke color="#000000" joinstyle="round"/>
                <v:imagedata o:title=""/>
                <o:lock v:ext="edit" aspectratio="f"/>
              </v:line>
            </w:pict>
          </mc:Fallback>
        </mc:AlternateContent>
      </w:r>
    </w:p>
    <w:p>
      <w:pPr>
        <w:jc w:val="center"/>
        <w:rPr>
          <w:rFonts w:ascii="仿宋_GB2312" w:eastAsia="仿宋_GB2312"/>
          <w:b/>
          <w:sz w:val="28"/>
          <w:szCs w:val="28"/>
          <w:u w:val="single"/>
        </w:rPr>
      </w:pPr>
    </w:p>
    <w:p>
      <w:pPr>
        <w:ind w:firstLine="551" w:firstLineChars="196"/>
        <w:jc w:val="left"/>
        <w:rPr>
          <w:rFonts w:ascii="仿宋_GB2312" w:eastAsia="仿宋_GB2312"/>
          <w:b/>
          <w:sz w:val="28"/>
          <w:szCs w:val="28"/>
        </w:rPr>
      </w:pPr>
      <w:r>
        <w:rPr>
          <w:rFonts w:hint="eastAsia" w:ascii="仿宋_GB2312" w:eastAsia="仿宋_GB2312"/>
          <w:b/>
          <w:sz w:val="28"/>
          <w:szCs w:val="28"/>
        </w:rPr>
        <w:t>本公司管理层保证本报告内容不存在任何虚假记载、误导性陈述或重大遗漏，并对其内容的真实性、准确性和完整性承担个别及连带责任。</w:t>
      </w:r>
    </w:p>
    <w:p>
      <w:pPr>
        <w:ind w:firstLine="630" w:firstLineChars="224"/>
        <w:rPr>
          <w:rFonts w:ascii="仿宋_GB2312" w:eastAsia="仿宋_GB2312"/>
          <w:b/>
          <w:sz w:val="28"/>
          <w:szCs w:val="28"/>
        </w:rPr>
      </w:pPr>
    </w:p>
    <w:p>
      <w:pPr>
        <w:spacing w:line="360" w:lineRule="auto"/>
        <w:ind w:firstLine="482" w:firstLineChars="200"/>
        <w:rPr>
          <w:rFonts w:ascii="仿宋_GB2312" w:eastAsia="仿宋_GB2312"/>
          <w:b/>
          <w:sz w:val="24"/>
        </w:rPr>
      </w:pPr>
    </w:p>
    <w:p>
      <w:pPr>
        <w:spacing w:line="360" w:lineRule="auto"/>
        <w:ind w:firstLine="482" w:firstLineChars="200"/>
        <w:rPr>
          <w:rFonts w:ascii="仿宋_GB2312" w:eastAsia="仿宋_GB2312"/>
          <w:b/>
          <w:sz w:val="24"/>
        </w:rPr>
      </w:pPr>
      <w:r>
        <w:rPr>
          <w:rFonts w:ascii="仿宋_GB2312" w:eastAsia="仿宋_GB2312"/>
          <w:b/>
          <w:sz w:val="24"/>
        </w:rPr>
        <mc:AlternateContent>
          <mc:Choice Requires="wps">
            <w:drawing>
              <wp:anchor distT="0" distB="0" distL="114300" distR="114300" simplePos="0" relativeHeight="251660288" behindDoc="0" locked="0" layoutInCell="1" allowOverlap="1">
                <wp:simplePos x="0" y="0"/>
                <wp:positionH relativeFrom="column">
                  <wp:posOffset>-114300</wp:posOffset>
                </wp:positionH>
                <wp:positionV relativeFrom="paragraph">
                  <wp:posOffset>5080</wp:posOffset>
                </wp:positionV>
                <wp:extent cx="5486400" cy="0"/>
                <wp:effectExtent l="0" t="4445" r="0" b="5080"/>
                <wp:wrapNone/>
                <wp:docPr id="2" name="直线 9"/>
                <wp:cNvGraphicFramePr/>
                <a:graphic xmlns:a="http://schemas.openxmlformats.org/drawingml/2006/main">
                  <a:graphicData uri="http://schemas.microsoft.com/office/word/2010/wordprocessingShape">
                    <wps:wsp>
                      <wps:cNvCnPr/>
                      <wps:spPr>
                        <a:xfrm>
                          <a:off x="0" y="0"/>
                          <a:ext cx="54864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9" o:spid="_x0000_s1026" o:spt="20" style="position:absolute;left:0pt;margin-left:-9pt;margin-top:0.4pt;height:0pt;width:432pt;z-index:251660288;mso-width-relative:page;mso-height-relative:page;" filled="f" stroked="t" coordsize="21600,21600" o:gfxdata="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0khajTAAAA&#10;BQEAAA8AAAAAAAAAAQAgAAAAIgAAAGRycy9kb3ducmV2LnhtbFBLAQIUABQAAAAIAIdO4kDu3XVw&#10;6QEAANsDAAAOAAAAAAAAAAEAIAAAACIBAABkcnMvZTJvRG9jLnhtbFBLBQYAAAAABgAGAFkBAAB9&#10;BQAAAAA=&#10;">
                <v:fill on="f" focussize="0,0"/>
                <v:stroke color="#000000" joinstyle="round"/>
                <v:imagedata o:title=""/>
                <o:lock v:ext="edit" aspectratio="f"/>
              </v:line>
            </w:pict>
          </mc:Fallback>
        </mc:AlternateContent>
      </w:r>
    </w:p>
    <w:p>
      <w:pPr>
        <w:spacing w:line="360" w:lineRule="auto"/>
        <w:ind w:firstLine="482" w:firstLineChars="200"/>
        <w:jc w:val="center"/>
        <w:rPr>
          <w:rFonts w:ascii="仿宋_GB2312" w:eastAsia="仿宋_GB2312"/>
          <w:b/>
          <w:sz w:val="24"/>
        </w:rPr>
      </w:pPr>
      <w:r>
        <w:rPr>
          <w:rFonts w:hint="eastAsia" w:ascii="仿宋_GB2312" w:eastAsia="仿宋_GB2312"/>
          <w:b/>
          <w:sz w:val="24"/>
        </w:rPr>
        <w:t>二零二</w:t>
      </w:r>
      <w:r>
        <w:rPr>
          <w:rFonts w:hint="eastAsia" w:ascii="仿宋_GB2312" w:eastAsia="仿宋_GB2312"/>
          <w:b/>
          <w:sz w:val="24"/>
          <w:lang w:val="en-US" w:eastAsia="zh-CN"/>
        </w:rPr>
        <w:t>四</w:t>
      </w:r>
      <w:r>
        <w:rPr>
          <w:rFonts w:hint="eastAsia" w:ascii="仿宋_GB2312" w:eastAsia="仿宋_GB2312"/>
          <w:b/>
          <w:sz w:val="24"/>
        </w:rPr>
        <w:t>年六月</w:t>
      </w:r>
    </w:p>
    <w:p>
      <w:pPr>
        <w:spacing w:line="360" w:lineRule="auto"/>
        <w:rPr>
          <w:rFonts w:ascii="仿宋_GB2312" w:hAnsi="宋体" w:eastAsia="仿宋_GB2312"/>
          <w:b/>
          <w:sz w:val="36"/>
          <w:szCs w:val="36"/>
        </w:rPr>
      </w:pPr>
    </w:p>
    <w:p>
      <w:pPr>
        <w:spacing w:line="360" w:lineRule="auto"/>
        <w:ind w:firstLine="482" w:firstLineChars="200"/>
        <w:jc w:val="center"/>
        <w:rPr>
          <w:rFonts w:ascii="仿宋_GB2312" w:eastAsia="仿宋_GB2312"/>
          <w:b/>
          <w:sz w:val="28"/>
          <w:szCs w:val="28"/>
        </w:rPr>
      </w:pPr>
      <w:r>
        <w:rPr>
          <w:rFonts w:ascii="仿宋_GB2312" w:eastAsia="仿宋_GB2312"/>
          <w:b/>
          <w:sz w:val="24"/>
        </w:rPr>
        <w:br w:type="page"/>
      </w:r>
    </w:p>
    <w:p>
      <w:pPr>
        <w:spacing w:line="360" w:lineRule="auto"/>
        <w:ind w:firstLine="562" w:firstLineChars="200"/>
        <w:jc w:val="center"/>
        <w:rPr>
          <w:rFonts w:ascii="宋体" w:hAnsi="宋体"/>
          <w:b/>
          <w:sz w:val="28"/>
          <w:szCs w:val="28"/>
        </w:rPr>
      </w:pPr>
      <w:r>
        <w:rPr>
          <w:rFonts w:hint="eastAsia" w:ascii="宋体" w:hAnsi="宋体"/>
          <w:b/>
          <w:sz w:val="28"/>
          <w:szCs w:val="28"/>
        </w:rPr>
        <w:t>目录</w:t>
      </w:r>
    </w:p>
    <w:p>
      <w:pPr>
        <w:spacing w:line="360" w:lineRule="auto"/>
        <w:ind w:firstLine="482" w:firstLineChars="200"/>
        <w:rPr>
          <w:rFonts w:ascii="仿宋_GB2312" w:eastAsia="仿宋_GB2312"/>
          <w:b/>
          <w:sz w:val="24"/>
        </w:rPr>
      </w:pPr>
    </w:p>
    <w:p>
      <w:pPr>
        <w:pStyle w:val="14"/>
        <w:tabs>
          <w:tab w:val="right" w:leader="dot" w:pos="8312"/>
        </w:tabs>
      </w:pPr>
      <w:r>
        <w:rPr>
          <w:rFonts w:ascii="仿宋_GB2312" w:eastAsia="仿宋_GB2312"/>
          <w:sz w:val="24"/>
        </w:rPr>
        <w:fldChar w:fldCharType="begin"/>
      </w:r>
      <w:r>
        <w:rPr>
          <w:rFonts w:ascii="仿宋_GB2312" w:eastAsia="仿宋_GB2312"/>
          <w:sz w:val="24"/>
        </w:rPr>
        <w:instrText xml:space="preserve"> TOC \o "1-3" \h \z \u </w:instrText>
      </w:r>
      <w:r>
        <w:rPr>
          <w:rFonts w:ascii="仿宋_GB2312" w:eastAsia="仿宋_GB2312"/>
          <w:sz w:val="24"/>
        </w:rPr>
        <w:fldChar w:fldCharType="separate"/>
      </w:r>
      <w:r>
        <w:rPr>
          <w:rFonts w:ascii="仿宋_GB2312" w:eastAsia="仿宋_GB2312"/>
        </w:rPr>
        <w:fldChar w:fldCharType="begin"/>
      </w:r>
      <w:r>
        <w:rPr>
          <w:rFonts w:ascii="仿宋_GB2312" w:eastAsia="仿宋_GB2312"/>
        </w:rPr>
        <w:instrText xml:space="preserve"> HYPERLINK \l _Toc748 </w:instrText>
      </w:r>
      <w:r>
        <w:rPr>
          <w:rFonts w:ascii="仿宋_GB2312" w:eastAsia="仿宋_GB2312"/>
        </w:rPr>
        <w:fldChar w:fldCharType="separate"/>
      </w:r>
      <w:r>
        <w:rPr>
          <w:rFonts w:hint="eastAsia"/>
          <w:szCs w:val="36"/>
        </w:rPr>
        <w:t>一、公司概况</w:t>
      </w:r>
      <w:r>
        <w:tab/>
      </w:r>
      <w:r>
        <w:fldChar w:fldCharType="begin"/>
      </w:r>
      <w:r>
        <w:instrText xml:space="preserve"> PAGEREF _Toc748 \h </w:instrText>
      </w:r>
      <w:r>
        <w:fldChar w:fldCharType="separate"/>
      </w:r>
      <w:r>
        <w:t>3</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_Toc6435 </w:instrText>
      </w:r>
      <w:r>
        <w:rPr>
          <w:rFonts w:ascii="仿宋_GB2312" w:eastAsia="仿宋_GB2312"/>
        </w:rPr>
        <w:fldChar w:fldCharType="separate"/>
      </w:r>
      <w:r>
        <w:rPr>
          <w:rFonts w:hint="eastAsia"/>
          <w:szCs w:val="30"/>
        </w:rPr>
        <w:t>（一）公司基本情况</w:t>
      </w:r>
      <w:r>
        <w:tab/>
      </w:r>
      <w:r>
        <w:fldChar w:fldCharType="begin"/>
      </w:r>
      <w:r>
        <w:instrText xml:space="preserve"> PAGEREF _Toc6435 \h </w:instrText>
      </w:r>
      <w:r>
        <w:fldChar w:fldCharType="separate"/>
      </w:r>
      <w:r>
        <w:t>3</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_Toc24169 </w:instrText>
      </w:r>
      <w:r>
        <w:rPr>
          <w:rFonts w:ascii="仿宋_GB2312" w:eastAsia="仿宋_GB2312"/>
        </w:rPr>
        <w:fldChar w:fldCharType="separate"/>
      </w:r>
      <w:r>
        <w:rPr>
          <w:rFonts w:hint="eastAsia"/>
          <w:szCs w:val="30"/>
        </w:rPr>
        <w:t>（二）公司治理结构</w:t>
      </w:r>
      <w:r>
        <w:tab/>
      </w:r>
      <w:r>
        <w:fldChar w:fldCharType="begin"/>
      </w:r>
      <w:r>
        <w:instrText xml:space="preserve"> PAGEREF _Toc24169 \h </w:instrText>
      </w:r>
      <w:r>
        <w:fldChar w:fldCharType="separate"/>
      </w:r>
      <w:r>
        <w:t>3</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_Toc7939 </w:instrText>
      </w:r>
      <w:r>
        <w:rPr>
          <w:rFonts w:ascii="仿宋_GB2312" w:eastAsia="仿宋_GB2312"/>
        </w:rPr>
        <w:fldChar w:fldCharType="separate"/>
      </w:r>
      <w:r>
        <w:rPr>
          <w:rFonts w:hint="eastAsia"/>
          <w:szCs w:val="30"/>
        </w:rPr>
        <w:t>（三）202</w:t>
      </w:r>
      <w:r>
        <w:rPr>
          <w:rFonts w:hint="eastAsia"/>
          <w:szCs w:val="30"/>
          <w:lang w:val="en-US" w:eastAsia="zh-CN"/>
        </w:rPr>
        <w:t>3</w:t>
      </w:r>
      <w:r>
        <w:rPr>
          <w:rFonts w:hint="eastAsia"/>
          <w:szCs w:val="30"/>
        </w:rPr>
        <w:t>年经营概况</w:t>
      </w:r>
      <w:r>
        <w:tab/>
      </w:r>
      <w:r>
        <w:fldChar w:fldCharType="begin"/>
      </w:r>
      <w:r>
        <w:instrText xml:space="preserve"> PAGEREF _Toc7939 \h </w:instrText>
      </w:r>
      <w:r>
        <w:fldChar w:fldCharType="separate"/>
      </w:r>
      <w:r>
        <w:t>3</w:t>
      </w:r>
      <w:r>
        <w:fldChar w:fldCharType="end"/>
      </w:r>
      <w:r>
        <w:rPr>
          <w:rFonts w:ascii="仿宋_GB2312" w:eastAsia="仿宋_GB2312"/>
        </w:rPr>
        <w:fldChar w:fldCharType="end"/>
      </w:r>
    </w:p>
    <w:p>
      <w:pPr>
        <w:pStyle w:val="14"/>
        <w:tabs>
          <w:tab w:val="right" w:leader="dot" w:pos="8312"/>
        </w:tabs>
      </w:pPr>
      <w:r>
        <w:rPr>
          <w:rFonts w:ascii="仿宋_GB2312" w:eastAsia="仿宋_GB2312"/>
        </w:rPr>
        <w:fldChar w:fldCharType="begin"/>
      </w:r>
      <w:r>
        <w:rPr>
          <w:rFonts w:ascii="仿宋_GB2312" w:eastAsia="仿宋_GB2312"/>
        </w:rPr>
        <w:instrText xml:space="preserve"> HYPERLINK \l _Toc29539 </w:instrText>
      </w:r>
      <w:r>
        <w:rPr>
          <w:rFonts w:ascii="仿宋_GB2312" w:eastAsia="仿宋_GB2312"/>
        </w:rPr>
        <w:fldChar w:fldCharType="separate"/>
      </w:r>
      <w:r>
        <w:rPr>
          <w:rFonts w:hint="eastAsia"/>
          <w:szCs w:val="36"/>
        </w:rPr>
        <w:t>二、公司对社会责任的认识</w:t>
      </w:r>
      <w:r>
        <w:tab/>
      </w:r>
      <w:r>
        <w:fldChar w:fldCharType="begin"/>
      </w:r>
      <w:r>
        <w:instrText xml:space="preserve"> PAGEREF _Toc29539 \h </w:instrText>
      </w:r>
      <w:r>
        <w:fldChar w:fldCharType="separate"/>
      </w:r>
      <w:r>
        <w:t>4</w:t>
      </w:r>
      <w:r>
        <w:fldChar w:fldCharType="end"/>
      </w:r>
      <w:r>
        <w:rPr>
          <w:rFonts w:ascii="仿宋_GB2312" w:eastAsia="仿宋_GB2312"/>
        </w:rPr>
        <w:fldChar w:fldCharType="end"/>
      </w:r>
    </w:p>
    <w:p>
      <w:pPr>
        <w:pStyle w:val="14"/>
        <w:tabs>
          <w:tab w:val="right" w:leader="dot" w:pos="8312"/>
        </w:tabs>
      </w:pPr>
      <w:r>
        <w:rPr>
          <w:rFonts w:ascii="仿宋_GB2312" w:eastAsia="仿宋_GB2312"/>
        </w:rPr>
        <w:fldChar w:fldCharType="begin"/>
      </w:r>
      <w:r>
        <w:rPr>
          <w:rFonts w:ascii="仿宋_GB2312" w:eastAsia="仿宋_GB2312"/>
        </w:rPr>
        <w:instrText xml:space="preserve"> HYPERLINK \l _Toc7529 </w:instrText>
      </w:r>
      <w:r>
        <w:rPr>
          <w:rFonts w:ascii="仿宋_GB2312" w:eastAsia="仿宋_GB2312"/>
        </w:rPr>
        <w:fldChar w:fldCharType="separate"/>
      </w:r>
      <w:r>
        <w:rPr>
          <w:rFonts w:hint="eastAsia"/>
          <w:szCs w:val="36"/>
        </w:rPr>
        <w:t>三、在促进经济可持续发展方面履行的社会责任</w:t>
      </w:r>
      <w:r>
        <w:tab/>
      </w:r>
      <w:r>
        <w:fldChar w:fldCharType="begin"/>
      </w:r>
      <w:r>
        <w:instrText xml:space="preserve"> PAGEREF _Toc7529 \h </w:instrText>
      </w:r>
      <w:r>
        <w:fldChar w:fldCharType="separate"/>
      </w:r>
      <w:r>
        <w:t>4</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_Toc11481 </w:instrText>
      </w:r>
      <w:r>
        <w:rPr>
          <w:rFonts w:ascii="仿宋_GB2312" w:eastAsia="仿宋_GB2312"/>
        </w:rPr>
        <w:fldChar w:fldCharType="separate"/>
      </w:r>
      <w:r>
        <w:rPr>
          <w:rFonts w:hint="eastAsia"/>
          <w:szCs w:val="30"/>
        </w:rPr>
        <w:t>（一）完善公司治理，合法合规经营</w:t>
      </w:r>
      <w:r>
        <w:tab/>
      </w:r>
      <w:r>
        <w:fldChar w:fldCharType="begin"/>
      </w:r>
      <w:r>
        <w:instrText xml:space="preserve"> PAGEREF _Toc11481 \h </w:instrText>
      </w:r>
      <w:r>
        <w:fldChar w:fldCharType="separate"/>
      </w:r>
      <w:r>
        <w:t>4</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_Toc3373 </w:instrText>
      </w:r>
      <w:r>
        <w:rPr>
          <w:rFonts w:ascii="仿宋_GB2312" w:eastAsia="仿宋_GB2312"/>
        </w:rPr>
        <w:fldChar w:fldCharType="separate"/>
      </w:r>
      <w:r>
        <w:rPr>
          <w:rFonts w:hint="eastAsia"/>
          <w:szCs w:val="30"/>
        </w:rPr>
        <w:t>（二）依法诚信纳税</w:t>
      </w:r>
      <w:r>
        <w:tab/>
      </w:r>
      <w:r>
        <w:fldChar w:fldCharType="begin"/>
      </w:r>
      <w:r>
        <w:instrText xml:space="preserve"> PAGEREF _Toc3373 \h </w:instrText>
      </w:r>
      <w:r>
        <w:fldChar w:fldCharType="separate"/>
      </w:r>
      <w:r>
        <w:t>5</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_Toc23224 </w:instrText>
      </w:r>
      <w:r>
        <w:rPr>
          <w:rFonts w:ascii="仿宋_GB2312" w:eastAsia="仿宋_GB2312"/>
        </w:rPr>
        <w:fldChar w:fldCharType="separate"/>
      </w:r>
      <w:r>
        <w:rPr>
          <w:rFonts w:hint="eastAsia"/>
          <w:szCs w:val="30"/>
        </w:rPr>
        <w:t>（三）构建和谐的投资者关系</w:t>
      </w:r>
      <w:r>
        <w:tab/>
      </w:r>
      <w:r>
        <w:fldChar w:fldCharType="begin"/>
      </w:r>
      <w:r>
        <w:instrText xml:space="preserve"> PAGEREF _Toc23224 \h </w:instrText>
      </w:r>
      <w:r>
        <w:fldChar w:fldCharType="separate"/>
      </w:r>
      <w:r>
        <w:t>5</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_Toc5945 </w:instrText>
      </w:r>
      <w:r>
        <w:rPr>
          <w:rFonts w:ascii="仿宋_GB2312" w:eastAsia="仿宋_GB2312"/>
        </w:rPr>
        <w:fldChar w:fldCharType="separate"/>
      </w:r>
      <w:r>
        <w:rPr>
          <w:rFonts w:hint="eastAsia"/>
          <w:szCs w:val="30"/>
        </w:rPr>
        <w:t>（四）为客户提供高质量的产品和服务</w:t>
      </w:r>
      <w:r>
        <w:tab/>
      </w:r>
      <w:r>
        <w:fldChar w:fldCharType="begin"/>
      </w:r>
      <w:r>
        <w:instrText xml:space="preserve"> PAGEREF _Toc5945 \h </w:instrText>
      </w:r>
      <w:r>
        <w:fldChar w:fldCharType="separate"/>
      </w:r>
      <w:r>
        <w:t>5</w:t>
      </w:r>
      <w:r>
        <w:fldChar w:fldCharType="end"/>
      </w:r>
      <w:r>
        <w:rPr>
          <w:rFonts w:ascii="仿宋_GB2312" w:eastAsia="仿宋_GB2312"/>
        </w:rPr>
        <w:fldChar w:fldCharType="end"/>
      </w:r>
    </w:p>
    <w:p>
      <w:pPr>
        <w:pStyle w:val="14"/>
        <w:tabs>
          <w:tab w:val="right" w:leader="dot" w:pos="8312"/>
        </w:tabs>
      </w:pPr>
      <w:r>
        <w:rPr>
          <w:rFonts w:ascii="仿宋_GB2312" w:eastAsia="仿宋_GB2312"/>
        </w:rPr>
        <w:fldChar w:fldCharType="begin"/>
      </w:r>
      <w:r>
        <w:rPr>
          <w:rFonts w:ascii="仿宋_GB2312" w:eastAsia="仿宋_GB2312"/>
        </w:rPr>
        <w:instrText xml:space="preserve"> HYPERLINK \l _Toc24636 </w:instrText>
      </w:r>
      <w:r>
        <w:rPr>
          <w:rFonts w:ascii="仿宋_GB2312" w:eastAsia="仿宋_GB2312"/>
        </w:rPr>
        <w:fldChar w:fldCharType="separate"/>
      </w:r>
      <w:r>
        <w:rPr>
          <w:rFonts w:hint="eastAsia"/>
          <w:szCs w:val="36"/>
        </w:rPr>
        <w:t>四、在促进环境及生态可持续发展方面履行的社会责任</w:t>
      </w:r>
      <w:r>
        <w:tab/>
      </w:r>
      <w:r>
        <w:fldChar w:fldCharType="begin"/>
      </w:r>
      <w:r>
        <w:instrText xml:space="preserve"> PAGEREF _Toc24636 \h </w:instrText>
      </w:r>
      <w:r>
        <w:fldChar w:fldCharType="separate"/>
      </w:r>
      <w:r>
        <w:t>6</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_Toc32715 </w:instrText>
      </w:r>
      <w:r>
        <w:rPr>
          <w:rFonts w:ascii="仿宋_GB2312" w:eastAsia="仿宋_GB2312"/>
        </w:rPr>
        <w:fldChar w:fldCharType="separate"/>
      </w:r>
      <w:r>
        <w:rPr>
          <w:rFonts w:hint="eastAsia"/>
          <w:szCs w:val="30"/>
        </w:rPr>
        <w:t>（一）注重能源节约</w:t>
      </w:r>
      <w:r>
        <w:tab/>
      </w:r>
      <w:r>
        <w:fldChar w:fldCharType="begin"/>
      </w:r>
      <w:r>
        <w:instrText xml:space="preserve"> PAGEREF _Toc32715 \h </w:instrText>
      </w:r>
      <w:r>
        <w:fldChar w:fldCharType="separate"/>
      </w:r>
      <w:r>
        <w:t>7</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_Toc3781 </w:instrText>
      </w:r>
      <w:r>
        <w:rPr>
          <w:rFonts w:ascii="仿宋_GB2312" w:eastAsia="仿宋_GB2312"/>
        </w:rPr>
        <w:fldChar w:fldCharType="separate"/>
      </w:r>
      <w:r>
        <w:rPr>
          <w:rFonts w:hint="eastAsia"/>
          <w:szCs w:val="30"/>
        </w:rPr>
        <w:t>（二）注重清洁生产、绿色制造过程</w:t>
      </w:r>
      <w:r>
        <w:tab/>
      </w:r>
      <w:r>
        <w:fldChar w:fldCharType="begin"/>
      </w:r>
      <w:r>
        <w:instrText xml:space="preserve"> PAGEREF _Toc3781 \h </w:instrText>
      </w:r>
      <w:r>
        <w:fldChar w:fldCharType="separate"/>
      </w:r>
      <w:r>
        <w:t>7</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_Toc16534 </w:instrText>
      </w:r>
      <w:r>
        <w:rPr>
          <w:rFonts w:ascii="仿宋_GB2312" w:eastAsia="仿宋_GB2312"/>
        </w:rPr>
        <w:fldChar w:fldCharType="separate"/>
      </w:r>
      <w:r>
        <w:rPr>
          <w:rFonts w:hint="eastAsia"/>
          <w:szCs w:val="30"/>
        </w:rPr>
        <w:t>（三）注重强化创新驱动</w:t>
      </w:r>
      <w:r>
        <w:tab/>
      </w:r>
      <w:r>
        <w:fldChar w:fldCharType="begin"/>
      </w:r>
      <w:r>
        <w:instrText xml:space="preserve"> PAGEREF _Toc16534 \h </w:instrText>
      </w:r>
      <w:r>
        <w:fldChar w:fldCharType="separate"/>
      </w:r>
      <w:r>
        <w:t>7</w:t>
      </w:r>
      <w:r>
        <w:fldChar w:fldCharType="end"/>
      </w:r>
      <w:r>
        <w:rPr>
          <w:rFonts w:ascii="仿宋_GB2312" w:eastAsia="仿宋_GB2312"/>
        </w:rPr>
        <w:fldChar w:fldCharType="end"/>
      </w:r>
    </w:p>
    <w:p>
      <w:pPr>
        <w:pStyle w:val="14"/>
        <w:tabs>
          <w:tab w:val="right" w:leader="dot" w:pos="8312"/>
        </w:tabs>
      </w:pPr>
      <w:r>
        <w:rPr>
          <w:rFonts w:ascii="仿宋_GB2312" w:eastAsia="仿宋_GB2312"/>
        </w:rPr>
        <w:fldChar w:fldCharType="begin"/>
      </w:r>
      <w:r>
        <w:rPr>
          <w:rFonts w:ascii="仿宋_GB2312" w:eastAsia="仿宋_GB2312"/>
        </w:rPr>
        <w:instrText xml:space="preserve"> HYPERLINK \l _Toc22488 </w:instrText>
      </w:r>
      <w:r>
        <w:rPr>
          <w:rFonts w:ascii="仿宋_GB2312" w:eastAsia="仿宋_GB2312"/>
        </w:rPr>
        <w:fldChar w:fldCharType="separate"/>
      </w:r>
      <w:r>
        <w:rPr>
          <w:rFonts w:hint="eastAsia"/>
          <w:szCs w:val="36"/>
        </w:rPr>
        <w:t>五、在促进社会可持续发展方面履行的社会责任</w:t>
      </w:r>
      <w:r>
        <w:tab/>
      </w:r>
      <w:r>
        <w:fldChar w:fldCharType="begin"/>
      </w:r>
      <w:r>
        <w:instrText xml:space="preserve"> PAGEREF _Toc22488 \h </w:instrText>
      </w:r>
      <w:r>
        <w:fldChar w:fldCharType="separate"/>
      </w:r>
      <w:r>
        <w:t>8</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_Toc28955 </w:instrText>
      </w:r>
      <w:r>
        <w:rPr>
          <w:rFonts w:ascii="仿宋_GB2312" w:eastAsia="仿宋_GB2312"/>
        </w:rPr>
        <w:fldChar w:fldCharType="separate"/>
      </w:r>
      <w:r>
        <w:rPr>
          <w:rFonts w:hint="eastAsia"/>
          <w:szCs w:val="30"/>
        </w:rPr>
        <w:t>（一）保障股东权益</w:t>
      </w:r>
      <w:r>
        <w:tab/>
      </w:r>
      <w:r>
        <w:fldChar w:fldCharType="begin"/>
      </w:r>
      <w:r>
        <w:instrText xml:space="preserve"> PAGEREF _Toc28955 \h </w:instrText>
      </w:r>
      <w:r>
        <w:fldChar w:fldCharType="separate"/>
      </w:r>
      <w:r>
        <w:t>8</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_Toc6310 </w:instrText>
      </w:r>
      <w:r>
        <w:rPr>
          <w:rFonts w:ascii="仿宋_GB2312" w:eastAsia="仿宋_GB2312"/>
        </w:rPr>
        <w:fldChar w:fldCharType="separate"/>
      </w:r>
      <w:r>
        <w:rPr>
          <w:rFonts w:hint="eastAsia"/>
          <w:szCs w:val="30"/>
        </w:rPr>
        <w:t>（二）强化员工培训</w:t>
      </w:r>
      <w:r>
        <w:tab/>
      </w:r>
      <w:r>
        <w:fldChar w:fldCharType="begin"/>
      </w:r>
      <w:r>
        <w:instrText xml:space="preserve"> PAGEREF _Toc6310 \h </w:instrText>
      </w:r>
      <w:r>
        <w:fldChar w:fldCharType="separate"/>
      </w:r>
      <w:r>
        <w:t>8</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_Toc22202 </w:instrText>
      </w:r>
      <w:r>
        <w:rPr>
          <w:rFonts w:ascii="仿宋_GB2312" w:eastAsia="仿宋_GB2312"/>
        </w:rPr>
        <w:fldChar w:fldCharType="separate"/>
      </w:r>
      <w:r>
        <w:rPr>
          <w:rFonts w:hint="eastAsia"/>
          <w:szCs w:val="30"/>
        </w:rPr>
        <w:t>（三）深入了解员工需求，提供员工满意度</w:t>
      </w:r>
      <w:r>
        <w:tab/>
      </w:r>
      <w:r>
        <w:fldChar w:fldCharType="begin"/>
      </w:r>
      <w:r>
        <w:instrText xml:space="preserve"> PAGEREF _Toc22202 \h </w:instrText>
      </w:r>
      <w:r>
        <w:fldChar w:fldCharType="separate"/>
      </w:r>
      <w:r>
        <w:t>9</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_Toc4690 </w:instrText>
      </w:r>
      <w:r>
        <w:rPr>
          <w:rFonts w:ascii="仿宋_GB2312" w:eastAsia="仿宋_GB2312"/>
        </w:rPr>
        <w:fldChar w:fldCharType="separate"/>
      </w:r>
      <w:r>
        <w:rPr>
          <w:rFonts w:hint="eastAsia"/>
          <w:szCs w:val="30"/>
        </w:rPr>
        <w:t>（四）加强安全生产</w:t>
      </w:r>
      <w:r>
        <w:tab/>
      </w:r>
      <w:r>
        <w:fldChar w:fldCharType="begin"/>
      </w:r>
      <w:r>
        <w:instrText xml:space="preserve"> PAGEREF _Toc4690 \h </w:instrText>
      </w:r>
      <w:r>
        <w:fldChar w:fldCharType="separate"/>
      </w:r>
      <w:r>
        <w:t>9</w:t>
      </w:r>
      <w:r>
        <w:fldChar w:fldCharType="end"/>
      </w:r>
      <w:r>
        <w:rPr>
          <w:rFonts w:ascii="仿宋_GB2312" w:eastAsia="仿宋_GB2312"/>
        </w:rPr>
        <w:fldChar w:fldCharType="end"/>
      </w:r>
    </w:p>
    <w:p>
      <w:pPr>
        <w:pStyle w:val="15"/>
        <w:tabs>
          <w:tab w:val="right" w:leader="dot" w:pos="8312"/>
        </w:tabs>
      </w:pPr>
      <w:r>
        <w:rPr>
          <w:rFonts w:ascii="仿宋_GB2312" w:eastAsia="仿宋_GB2312"/>
        </w:rPr>
        <w:fldChar w:fldCharType="begin"/>
      </w:r>
      <w:r>
        <w:rPr>
          <w:rFonts w:ascii="仿宋_GB2312" w:eastAsia="仿宋_GB2312"/>
        </w:rPr>
        <w:instrText xml:space="preserve"> HYPERLINK \l _Toc577 </w:instrText>
      </w:r>
      <w:r>
        <w:rPr>
          <w:rFonts w:ascii="仿宋_GB2312" w:eastAsia="仿宋_GB2312"/>
        </w:rPr>
        <w:fldChar w:fldCharType="separate"/>
      </w:r>
      <w:r>
        <w:rPr>
          <w:rFonts w:hint="eastAsia"/>
          <w:szCs w:val="30"/>
        </w:rPr>
        <w:t>（五）积极投身公益</w:t>
      </w:r>
      <w:r>
        <w:tab/>
      </w:r>
      <w:r>
        <w:fldChar w:fldCharType="begin"/>
      </w:r>
      <w:r>
        <w:instrText xml:space="preserve"> PAGEREF _Toc577 \h </w:instrText>
      </w:r>
      <w:r>
        <w:fldChar w:fldCharType="separate"/>
      </w:r>
      <w:r>
        <w:t>10</w:t>
      </w:r>
      <w:r>
        <w:fldChar w:fldCharType="end"/>
      </w:r>
      <w:r>
        <w:rPr>
          <w:rFonts w:ascii="仿宋_GB2312" w:eastAsia="仿宋_GB2312"/>
        </w:rPr>
        <w:fldChar w:fldCharType="end"/>
      </w:r>
    </w:p>
    <w:p>
      <w:pPr>
        <w:pStyle w:val="14"/>
        <w:tabs>
          <w:tab w:val="right" w:leader="dot" w:pos="8312"/>
        </w:tabs>
      </w:pPr>
      <w:r>
        <w:rPr>
          <w:rFonts w:ascii="仿宋_GB2312" w:eastAsia="仿宋_GB2312"/>
        </w:rPr>
        <w:fldChar w:fldCharType="begin"/>
      </w:r>
      <w:r>
        <w:rPr>
          <w:rFonts w:ascii="仿宋_GB2312" w:eastAsia="仿宋_GB2312"/>
        </w:rPr>
        <w:instrText xml:space="preserve"> HYPERLINK \l _Toc32193 </w:instrText>
      </w:r>
      <w:r>
        <w:rPr>
          <w:rFonts w:ascii="仿宋_GB2312" w:eastAsia="仿宋_GB2312"/>
        </w:rPr>
        <w:fldChar w:fldCharType="separate"/>
      </w:r>
      <w:r>
        <w:rPr>
          <w:rFonts w:hint="eastAsia"/>
          <w:szCs w:val="36"/>
        </w:rPr>
        <w:t>六、公司荣誉</w:t>
      </w:r>
      <w:r>
        <w:tab/>
      </w:r>
      <w:r>
        <w:fldChar w:fldCharType="begin"/>
      </w:r>
      <w:r>
        <w:instrText xml:space="preserve"> PAGEREF _Toc32193 \h </w:instrText>
      </w:r>
      <w:r>
        <w:fldChar w:fldCharType="separate"/>
      </w:r>
      <w:r>
        <w:t>11</w:t>
      </w:r>
      <w:r>
        <w:fldChar w:fldCharType="end"/>
      </w:r>
      <w:r>
        <w:rPr>
          <w:rFonts w:ascii="仿宋_GB2312" w:eastAsia="仿宋_GB2312"/>
        </w:rPr>
        <w:fldChar w:fldCharType="end"/>
      </w:r>
    </w:p>
    <w:p>
      <w:pPr>
        <w:pStyle w:val="14"/>
        <w:tabs>
          <w:tab w:val="right" w:leader="dot" w:pos="8312"/>
        </w:tabs>
      </w:pPr>
      <w:r>
        <w:rPr>
          <w:rFonts w:ascii="仿宋_GB2312" w:eastAsia="仿宋_GB2312"/>
        </w:rPr>
        <w:fldChar w:fldCharType="begin"/>
      </w:r>
      <w:r>
        <w:rPr>
          <w:rFonts w:ascii="仿宋_GB2312" w:eastAsia="仿宋_GB2312"/>
        </w:rPr>
        <w:instrText xml:space="preserve"> HYPERLINK \l _Toc20232 </w:instrText>
      </w:r>
      <w:r>
        <w:rPr>
          <w:rFonts w:ascii="仿宋_GB2312" w:eastAsia="仿宋_GB2312"/>
        </w:rPr>
        <w:fldChar w:fldCharType="separate"/>
      </w:r>
      <w:r>
        <w:rPr>
          <w:rFonts w:hint="eastAsia"/>
          <w:szCs w:val="36"/>
        </w:rPr>
        <w:t>七、202</w:t>
      </w:r>
      <w:r>
        <w:rPr>
          <w:rFonts w:hint="eastAsia"/>
          <w:szCs w:val="36"/>
          <w:lang w:val="en-US" w:eastAsia="zh-CN"/>
        </w:rPr>
        <w:t>4</w:t>
      </w:r>
      <w:r>
        <w:rPr>
          <w:rFonts w:hint="eastAsia"/>
          <w:szCs w:val="36"/>
        </w:rPr>
        <w:t>年展望</w:t>
      </w:r>
      <w:r>
        <w:tab/>
      </w:r>
      <w:r>
        <w:fldChar w:fldCharType="begin"/>
      </w:r>
      <w:r>
        <w:instrText xml:space="preserve"> PAGEREF _Toc20232 \h </w:instrText>
      </w:r>
      <w:r>
        <w:fldChar w:fldCharType="separate"/>
      </w:r>
      <w:r>
        <w:t>11</w:t>
      </w:r>
      <w:r>
        <w:fldChar w:fldCharType="end"/>
      </w:r>
      <w:r>
        <w:rPr>
          <w:rFonts w:ascii="仿宋_GB2312" w:eastAsia="仿宋_GB2312"/>
        </w:rPr>
        <w:fldChar w:fldCharType="end"/>
      </w:r>
    </w:p>
    <w:p>
      <w:pPr>
        <w:spacing w:line="360" w:lineRule="auto"/>
        <w:ind w:firstLine="420" w:firstLineChars="200"/>
        <w:rPr>
          <w:rFonts w:ascii="仿宋_GB2312" w:eastAsia="仿宋_GB2312"/>
          <w:b/>
          <w:sz w:val="24"/>
        </w:rPr>
      </w:pPr>
      <w:r>
        <w:rPr>
          <w:rFonts w:ascii="仿宋_GB2312" w:eastAsia="仿宋_GB2312"/>
        </w:rPr>
        <w:fldChar w:fldCharType="end"/>
      </w:r>
    </w:p>
    <w:p>
      <w:pPr>
        <w:spacing w:line="360" w:lineRule="auto"/>
        <w:ind w:firstLine="482" w:firstLineChars="200"/>
        <w:rPr>
          <w:rFonts w:ascii="仿宋_GB2312" w:eastAsia="仿宋_GB2312"/>
          <w:b/>
          <w:sz w:val="24"/>
        </w:rPr>
      </w:pPr>
    </w:p>
    <w:p>
      <w:pPr>
        <w:spacing w:line="360" w:lineRule="auto"/>
        <w:ind w:firstLine="482" w:firstLineChars="200"/>
        <w:rPr>
          <w:rFonts w:ascii="仿宋_GB2312" w:eastAsia="仿宋_GB2312"/>
          <w:b/>
          <w:sz w:val="24"/>
        </w:rPr>
      </w:pPr>
    </w:p>
    <w:p>
      <w:pPr>
        <w:spacing w:line="360" w:lineRule="auto"/>
        <w:ind w:firstLine="482" w:firstLineChars="200"/>
        <w:rPr>
          <w:rFonts w:ascii="仿宋_GB2312" w:eastAsia="仿宋_GB2312"/>
          <w:b/>
          <w:sz w:val="24"/>
        </w:rPr>
      </w:pPr>
    </w:p>
    <w:p>
      <w:pPr>
        <w:spacing w:line="360" w:lineRule="auto"/>
        <w:ind w:firstLine="482" w:firstLineChars="200"/>
        <w:rPr>
          <w:rFonts w:ascii="仿宋_GB2312" w:eastAsia="仿宋_GB2312"/>
          <w:b/>
          <w:sz w:val="24"/>
        </w:rPr>
      </w:pPr>
    </w:p>
    <w:p>
      <w:pPr>
        <w:spacing w:line="360" w:lineRule="auto"/>
        <w:ind w:firstLine="482" w:firstLineChars="200"/>
        <w:rPr>
          <w:rFonts w:ascii="仿宋_GB2312" w:eastAsia="仿宋_GB2312"/>
          <w:b/>
          <w:sz w:val="24"/>
        </w:rPr>
      </w:pPr>
    </w:p>
    <w:p>
      <w:pPr>
        <w:spacing w:line="360" w:lineRule="auto"/>
        <w:ind w:firstLine="482" w:firstLineChars="200"/>
        <w:rPr>
          <w:rFonts w:ascii="仿宋_GB2312" w:eastAsia="仿宋_GB2312"/>
          <w:b/>
          <w:sz w:val="24"/>
        </w:rPr>
      </w:pPr>
    </w:p>
    <w:p>
      <w:pPr>
        <w:spacing w:line="360" w:lineRule="auto"/>
        <w:rPr>
          <w:rFonts w:ascii="仿宋_GB2312" w:eastAsia="仿宋_GB2312"/>
          <w:b/>
          <w:sz w:val="24"/>
        </w:rPr>
      </w:pPr>
    </w:p>
    <w:p>
      <w:pPr>
        <w:pStyle w:val="2"/>
        <w:rPr>
          <w:sz w:val="36"/>
          <w:szCs w:val="36"/>
        </w:rPr>
      </w:pPr>
      <w:bookmarkStart w:id="0" w:name="_Toc748"/>
      <w:r>
        <w:rPr>
          <w:rFonts w:hint="eastAsia"/>
          <w:sz w:val="36"/>
          <w:szCs w:val="36"/>
        </w:rPr>
        <w:t>一、公司概况</w:t>
      </w:r>
      <w:bookmarkEnd w:id="0"/>
    </w:p>
    <w:p>
      <w:pPr>
        <w:pStyle w:val="3"/>
        <w:rPr>
          <w:b w:val="0"/>
          <w:sz w:val="30"/>
          <w:szCs w:val="30"/>
        </w:rPr>
      </w:pPr>
      <w:bookmarkStart w:id="1" w:name="_Toc6435"/>
      <w:r>
        <w:rPr>
          <w:rFonts w:hint="eastAsia"/>
          <w:b w:val="0"/>
          <w:sz w:val="30"/>
          <w:szCs w:val="30"/>
        </w:rPr>
        <w:t>（一）公司基本情况</w:t>
      </w:r>
      <w:bookmarkEnd w:id="1"/>
    </w:p>
    <w:p>
      <w:pPr>
        <w:spacing w:line="360" w:lineRule="auto"/>
        <w:ind w:firstLine="480" w:firstLineChars="200"/>
        <w:rPr>
          <w:rFonts w:ascii="仿宋_GB2312" w:eastAsia="仿宋_GB2312"/>
          <w:sz w:val="24"/>
        </w:rPr>
      </w:pPr>
      <w:r>
        <w:rPr>
          <w:rFonts w:hint="eastAsia" w:ascii="仿宋_GB2312" w:eastAsia="仿宋_GB2312"/>
          <w:sz w:val="24"/>
        </w:rPr>
        <w:t>浙江长兴求是膜技术有限公司为浙江开创环保科技有限公司的全资子公司，专业从事各类超滤膜的研发、生产、销售及技术服务，是国内最大的</w:t>
      </w:r>
      <w:r>
        <w:rPr>
          <w:rFonts w:ascii="仿宋_GB2312" w:eastAsia="仿宋_GB2312"/>
          <w:sz w:val="24"/>
        </w:rPr>
        <w:t xml:space="preserve">PVDF </w:t>
      </w:r>
      <w:r>
        <w:rPr>
          <w:rFonts w:hint="eastAsia" w:ascii="仿宋_GB2312" w:eastAsia="仿宋_GB2312"/>
          <w:sz w:val="24"/>
        </w:rPr>
        <w:t>膜生产厂家之一。公司自主研发第四代中空纤维膜——砼式</w:t>
      </w:r>
      <w:r>
        <w:rPr>
          <w:rFonts w:ascii="仿宋_GB2312" w:eastAsia="仿宋_GB2312"/>
          <w:sz w:val="24"/>
        </w:rPr>
        <w:t xml:space="preserve">PVDF </w:t>
      </w:r>
      <w:r>
        <w:rPr>
          <w:rFonts w:hint="eastAsia" w:ascii="仿宋_GB2312" w:eastAsia="仿宋_GB2312"/>
          <w:sz w:val="24"/>
        </w:rPr>
        <w:t>膜为国际先进产品，并取得膜协会科技一等奖，具有原创性的突破，是目前综合成本最低的中空纤维膜，砼式膜具有强度高、能量大、抗污染性强、寿命长的优势，广泛应用于工业和市政废水的提标改造及中水回用、自来水膜法净化、物料浓缩分离、海水淡化等领域。</w:t>
      </w:r>
    </w:p>
    <w:p>
      <w:pPr>
        <w:spacing w:line="360" w:lineRule="auto"/>
        <w:ind w:firstLine="480" w:firstLineChars="200"/>
        <w:rPr>
          <w:rFonts w:ascii="仿宋_GB2312" w:eastAsia="仿宋_GB2312"/>
          <w:sz w:val="24"/>
        </w:rPr>
      </w:pPr>
      <w:r>
        <w:rPr>
          <w:rFonts w:hint="eastAsia" w:ascii="仿宋_GB2312" w:eastAsia="仿宋_GB2312"/>
          <w:sz w:val="24"/>
        </w:rPr>
        <w:t>我公司自主研发的</w:t>
      </w:r>
      <w:r>
        <w:rPr>
          <w:rFonts w:ascii="仿宋_GB2312" w:eastAsia="仿宋_GB2312"/>
          <w:sz w:val="24"/>
        </w:rPr>
        <w:t xml:space="preserve">MBR </w:t>
      </w:r>
      <w:r>
        <w:rPr>
          <w:rFonts w:hint="eastAsia" w:ascii="仿宋_GB2312" w:eastAsia="仿宋_GB2312"/>
          <w:sz w:val="24"/>
        </w:rPr>
        <w:t>一体机，其核心处理部件采用第四代复合纤维膜。该设备高度集成，占地面积小，出水效果好，特别是在农村生活污水治理及回用上得到广泛应用。</w:t>
      </w:r>
    </w:p>
    <w:p>
      <w:pPr>
        <w:spacing w:line="360" w:lineRule="auto"/>
        <w:ind w:firstLine="480" w:firstLineChars="200"/>
        <w:rPr>
          <w:rFonts w:ascii="仿宋_GB2312" w:eastAsia="仿宋_GB2312"/>
          <w:sz w:val="24"/>
        </w:rPr>
      </w:pPr>
      <w:r>
        <w:rPr>
          <w:rFonts w:hint="eastAsia" w:ascii="仿宋_GB2312" w:eastAsia="仿宋_GB2312"/>
          <w:sz w:val="24"/>
        </w:rPr>
        <w:t>求是、创新是求是膜的核心价值观。责任是企业生存的基础：我们坚持对客户负责、对员工负责、对股东负责、对社会负责；求是、创新是浙江长兴求是膜技术有限公司发展的基础。</w:t>
      </w:r>
    </w:p>
    <w:p>
      <w:pPr>
        <w:pStyle w:val="3"/>
        <w:rPr>
          <w:b w:val="0"/>
          <w:sz w:val="30"/>
          <w:szCs w:val="30"/>
        </w:rPr>
      </w:pPr>
      <w:bookmarkStart w:id="2" w:name="_Toc24169"/>
      <w:r>
        <w:rPr>
          <w:rFonts w:hint="eastAsia"/>
          <w:b w:val="0"/>
          <w:sz w:val="30"/>
          <w:szCs w:val="30"/>
        </w:rPr>
        <w:t>（二）公司治理结构</w:t>
      </w:r>
      <w:bookmarkEnd w:id="2"/>
    </w:p>
    <w:p>
      <w:pPr>
        <w:spacing w:line="360" w:lineRule="auto"/>
        <w:ind w:firstLine="480" w:firstLineChars="200"/>
        <w:rPr>
          <w:rFonts w:ascii="仿宋_GB2312" w:eastAsia="仿宋_GB2312"/>
          <w:sz w:val="24"/>
        </w:rPr>
      </w:pPr>
      <w:r>
        <w:rPr>
          <w:rFonts w:hint="eastAsia" w:ascii="仿宋_GB2312" w:eastAsia="仿宋_GB2312"/>
          <w:sz w:val="24"/>
        </w:rPr>
        <w:t xml:space="preserve">  公司依法建立了由股东、董事会组成的公司治理架构，形成了权力机构、执行机构、监督机构之间各司其职、有效制衡、相互协调工作的机制，在此之下公司建立健全了以职业经理人为主的公司管理层，以为股东持续创造卓越的投资回报并实现股东价值最大化为发展宗旨。</w:t>
      </w:r>
    </w:p>
    <w:p>
      <w:pPr>
        <w:pStyle w:val="3"/>
        <w:rPr>
          <w:b w:val="0"/>
          <w:sz w:val="30"/>
          <w:szCs w:val="30"/>
        </w:rPr>
      </w:pPr>
      <w:bookmarkStart w:id="3" w:name="_Toc7939"/>
      <w:r>
        <w:rPr>
          <w:rFonts w:hint="eastAsia"/>
          <w:b w:val="0"/>
          <w:sz w:val="30"/>
          <w:szCs w:val="30"/>
        </w:rPr>
        <w:t>（三）202</w:t>
      </w:r>
      <w:r>
        <w:rPr>
          <w:rFonts w:hint="eastAsia"/>
          <w:b w:val="0"/>
          <w:sz w:val="30"/>
          <w:szCs w:val="30"/>
          <w:lang w:val="en-US" w:eastAsia="zh-CN"/>
        </w:rPr>
        <w:t>3</w:t>
      </w:r>
      <w:r>
        <w:rPr>
          <w:rFonts w:hint="eastAsia"/>
          <w:b w:val="0"/>
          <w:sz w:val="30"/>
          <w:szCs w:val="30"/>
        </w:rPr>
        <w:t>年经营概况</w:t>
      </w:r>
      <w:bookmarkEnd w:id="3"/>
    </w:p>
    <w:p>
      <w:pPr>
        <w:spacing w:line="360" w:lineRule="auto"/>
        <w:ind w:firstLine="480" w:firstLineChars="200"/>
        <w:rPr>
          <w:rFonts w:ascii="仿宋_GB2312" w:eastAsia="仿宋_GB2312"/>
          <w:sz w:val="24"/>
        </w:rPr>
      </w:pPr>
      <w:r>
        <w:rPr>
          <w:rFonts w:hint="eastAsia" w:ascii="仿宋_GB2312" w:eastAsia="仿宋_GB2312"/>
          <w:sz w:val="24"/>
        </w:rPr>
        <w:t>202</w:t>
      </w:r>
      <w:r>
        <w:rPr>
          <w:rFonts w:hint="eastAsia" w:ascii="仿宋_GB2312" w:eastAsia="仿宋_GB2312"/>
          <w:sz w:val="24"/>
          <w:lang w:val="en-US" w:eastAsia="zh-CN"/>
        </w:rPr>
        <w:t>3</w:t>
      </w:r>
      <w:r>
        <w:rPr>
          <w:rFonts w:hint="eastAsia" w:ascii="仿宋_GB2312" w:eastAsia="仿宋_GB2312"/>
          <w:sz w:val="24"/>
        </w:rPr>
        <w:t>年，公司积极应对错综复杂的国内外经济形势，</w:t>
      </w:r>
      <w:r>
        <w:rPr>
          <w:rFonts w:hint="eastAsia" w:ascii="仿宋_GB2312" w:eastAsia="仿宋_GB2312"/>
          <w:sz w:val="24"/>
          <w:highlight w:val="none"/>
        </w:rPr>
        <w:t>紧紧围绕“技术领先，订单驱动”的工作思路</w:t>
      </w:r>
      <w:r>
        <w:rPr>
          <w:rFonts w:hint="eastAsia" w:ascii="仿宋_GB2312" w:eastAsia="仿宋_GB2312"/>
          <w:sz w:val="24"/>
        </w:rPr>
        <w:t>，推进公司的跨越式发展。通过强化经营管控和精细化管理，实现多文化融合和多基地的协调，为公司稳健发展奠定坚实基础，大力提升公司价值，回报股东。</w:t>
      </w:r>
    </w:p>
    <w:p>
      <w:pPr>
        <w:pStyle w:val="2"/>
        <w:rPr>
          <w:sz w:val="36"/>
          <w:szCs w:val="36"/>
        </w:rPr>
      </w:pPr>
      <w:bookmarkStart w:id="4" w:name="_Toc29539"/>
      <w:r>
        <w:rPr>
          <w:rFonts w:hint="eastAsia"/>
          <w:sz w:val="36"/>
          <w:szCs w:val="36"/>
        </w:rPr>
        <w:t>二、公司对社会责任的认识</w:t>
      </w:r>
      <w:bookmarkEnd w:id="4"/>
    </w:p>
    <w:p>
      <w:pPr>
        <w:spacing w:line="360" w:lineRule="auto"/>
        <w:ind w:firstLine="480" w:firstLineChars="200"/>
        <w:rPr>
          <w:rFonts w:ascii="仿宋_GB2312" w:eastAsia="仿宋_GB2312"/>
          <w:sz w:val="24"/>
        </w:rPr>
      </w:pPr>
      <w:r>
        <w:rPr>
          <w:rFonts w:hint="eastAsia" w:ascii="仿宋_GB2312" w:eastAsia="仿宋_GB2312"/>
          <w:sz w:val="24"/>
        </w:rPr>
        <w:t>公司的社会责任理念是公司管理理念体系的一部分，其价值也体现在服务理念、品牌理念、环保理念、关爱员工、社会责任之中。公司始终认为企业在长期经营过程中还要承担起对利益相关者以及整个社会的责任，以实现企业与经济社会可持续发展的协调关系。认真地履行社会责任，不仅仅是公司提升自身价值，真正实现向现代企业跨越的必经之路，更是落实以人为本的科学发展观，构建社会主义和谐社会的具体行动体现。</w:t>
      </w:r>
    </w:p>
    <w:p>
      <w:pPr>
        <w:spacing w:line="360" w:lineRule="auto"/>
        <w:ind w:firstLine="480" w:firstLineChars="200"/>
        <w:rPr>
          <w:rFonts w:ascii="仿宋_GB2312" w:eastAsia="仿宋_GB2312"/>
          <w:sz w:val="24"/>
        </w:rPr>
      </w:pPr>
      <w:r>
        <w:rPr>
          <w:rFonts w:hint="eastAsia" w:ascii="仿宋_GB2312" w:eastAsia="仿宋_GB2312"/>
          <w:sz w:val="24"/>
        </w:rPr>
        <w:t>公司遵循</w:t>
      </w:r>
      <w:r>
        <w:rPr>
          <w:rFonts w:ascii="仿宋_GB2312" w:eastAsia="仿宋_GB2312"/>
          <w:sz w:val="24"/>
        </w:rPr>
        <w:t>”</w:t>
      </w:r>
      <w:r>
        <w:rPr>
          <w:rFonts w:hint="eastAsia" w:ascii="仿宋_GB2312" w:eastAsia="仿宋_GB2312"/>
          <w:sz w:val="24"/>
        </w:rPr>
        <w:t xml:space="preserve"> 诚信务实、科技先导、追求卓越、至诚服务</w:t>
      </w:r>
      <w:r>
        <w:rPr>
          <w:rFonts w:ascii="仿宋_GB2312" w:eastAsia="仿宋_GB2312"/>
          <w:sz w:val="24"/>
        </w:rPr>
        <w:t>”</w:t>
      </w:r>
      <w:r>
        <w:rPr>
          <w:rFonts w:hint="eastAsia" w:ascii="仿宋_GB2312" w:eastAsia="仿宋_GB2312"/>
          <w:sz w:val="24"/>
        </w:rPr>
        <w:t>的经营理念，并将把公司建设成为“成为受人尊敬的国际领先膜科技企业”作为自己的愿景。公司以促进社会和谐发展为己任，通过贯彻落实科学发展观，将可持续发展和构建和谐社会的理念切实融入企业文化，更好地服务消费者，带给利益相关人更多的回报。公司在实践中不断追求企业与员工、社会、自然的和谐发展，注重生产过程中的节能与环保，同时最大程度地保护生存的环境，以实际行动回报社会、保护环境、关爱自然、创建和谐的发展环境，履行社会责任。</w:t>
      </w:r>
    </w:p>
    <w:p>
      <w:pPr>
        <w:spacing w:line="360" w:lineRule="auto"/>
        <w:ind w:firstLine="480" w:firstLineChars="200"/>
        <w:rPr>
          <w:rFonts w:ascii="仿宋_GB2312" w:eastAsia="仿宋_GB2312"/>
          <w:sz w:val="24"/>
        </w:rPr>
      </w:pPr>
      <w:r>
        <w:rPr>
          <w:rFonts w:hint="eastAsia" w:ascii="仿宋_GB2312" w:eastAsia="仿宋_GB2312"/>
          <w:sz w:val="24"/>
        </w:rPr>
        <w:t>公司的社会责任理念：为顾客创造价值，为股东创造财富，为员工创造机会，为社会创造效益。</w:t>
      </w:r>
    </w:p>
    <w:p>
      <w:pPr>
        <w:pStyle w:val="2"/>
        <w:rPr>
          <w:sz w:val="36"/>
          <w:szCs w:val="36"/>
        </w:rPr>
      </w:pPr>
      <w:bookmarkStart w:id="5" w:name="_Toc7529"/>
      <w:r>
        <w:rPr>
          <w:rFonts w:hint="eastAsia"/>
          <w:sz w:val="36"/>
          <w:szCs w:val="36"/>
        </w:rPr>
        <w:t>三、在促进经济可持续发展方面履行的社会责任</w:t>
      </w:r>
      <w:bookmarkEnd w:id="5"/>
    </w:p>
    <w:p>
      <w:pPr>
        <w:pStyle w:val="3"/>
        <w:rPr>
          <w:b w:val="0"/>
          <w:sz w:val="30"/>
          <w:szCs w:val="30"/>
        </w:rPr>
      </w:pPr>
      <w:bookmarkStart w:id="6" w:name="_Toc11481"/>
      <w:r>
        <w:rPr>
          <w:rFonts w:hint="eastAsia"/>
          <w:b w:val="0"/>
          <w:sz w:val="30"/>
          <w:szCs w:val="30"/>
        </w:rPr>
        <w:t>（一）完善公司治理，合法合规经营</w:t>
      </w:r>
      <w:bookmarkEnd w:id="6"/>
    </w:p>
    <w:p>
      <w:pPr>
        <w:spacing w:line="360" w:lineRule="auto"/>
        <w:ind w:firstLine="480" w:firstLineChars="200"/>
        <w:rPr>
          <w:rFonts w:ascii="仿宋_GB2312" w:eastAsia="仿宋_GB2312"/>
          <w:sz w:val="24"/>
        </w:rPr>
      </w:pPr>
      <w:r>
        <w:rPr>
          <w:rFonts w:hint="eastAsia" w:ascii="仿宋_GB2312" w:eastAsia="仿宋_GB2312"/>
          <w:sz w:val="24"/>
        </w:rPr>
        <w:t>自创建以来，公司不断完善公司治理结构，健全内部制度体系，对管理层贯彻执行法律、行政法规，履行诚信和勤勉的义务等方面做了明确的规定，坚持合法经营，依法纳税，诚信为本，履行法律和道德责任。</w:t>
      </w:r>
    </w:p>
    <w:p>
      <w:pPr>
        <w:pStyle w:val="3"/>
        <w:rPr>
          <w:b w:val="0"/>
          <w:sz w:val="30"/>
          <w:szCs w:val="30"/>
        </w:rPr>
      </w:pPr>
      <w:bookmarkStart w:id="7" w:name="_Toc3373"/>
      <w:r>
        <w:rPr>
          <w:rFonts w:hint="eastAsia"/>
          <w:b w:val="0"/>
          <w:sz w:val="30"/>
          <w:szCs w:val="30"/>
        </w:rPr>
        <w:t>（二）依法诚信纳税</w:t>
      </w:r>
      <w:bookmarkEnd w:id="7"/>
    </w:p>
    <w:p>
      <w:pPr>
        <w:spacing w:line="360" w:lineRule="auto"/>
        <w:ind w:firstLine="480" w:firstLineChars="200"/>
        <w:rPr>
          <w:rFonts w:ascii="仿宋_GB2312" w:eastAsia="仿宋_GB2312"/>
          <w:sz w:val="24"/>
        </w:rPr>
      </w:pPr>
      <w:r>
        <w:rPr>
          <w:rFonts w:hint="eastAsia" w:ascii="仿宋_GB2312" w:eastAsia="仿宋_GB2312"/>
          <w:sz w:val="24"/>
        </w:rPr>
        <w:t>依法纳税是企业应尽的义务，也是企业承担社会责任的具体表现。税收在保证国家财政持续良性增长的同时，也对加快转变经济发展方式、产业结构优化升级、节能减排践行低碳经济等方面产生积极的引导作用。作为行业领先企业，公司既是地方环保膜行业的龙头企业，也是纳税大户，始终走在纳税前列，努力争创纳税模范典型。</w:t>
      </w:r>
    </w:p>
    <w:p>
      <w:pPr>
        <w:spacing w:line="360" w:lineRule="auto"/>
        <w:ind w:firstLine="480" w:firstLineChars="200"/>
        <w:rPr>
          <w:rFonts w:ascii="仿宋_GB2312" w:eastAsia="仿宋_GB2312"/>
          <w:sz w:val="24"/>
        </w:rPr>
      </w:pPr>
      <w:r>
        <w:rPr>
          <w:rFonts w:hint="eastAsia" w:ascii="仿宋_GB2312" w:eastAsia="仿宋_GB2312"/>
          <w:sz w:val="24"/>
        </w:rPr>
        <w:t>随着公司业务的不断扩展，赢利能力的不断提升</w:t>
      </w:r>
      <w:r>
        <w:rPr>
          <w:rFonts w:hint="eastAsia" w:ascii="仿宋_GB2312" w:eastAsia="仿宋_GB2312"/>
          <w:i/>
          <w:sz w:val="24"/>
        </w:rPr>
        <w:t>，</w:t>
      </w:r>
      <w:r>
        <w:rPr>
          <w:rFonts w:hint="eastAsia" w:ascii="仿宋_GB2312" w:eastAsia="仿宋_GB2312"/>
          <w:sz w:val="24"/>
        </w:rPr>
        <w:t>公司为国家创造的税收也逐年大幅增加。202</w:t>
      </w:r>
      <w:r>
        <w:rPr>
          <w:rFonts w:hint="eastAsia" w:ascii="仿宋_GB2312" w:eastAsia="仿宋_GB2312"/>
          <w:sz w:val="24"/>
          <w:lang w:val="en-US" w:eastAsia="zh-CN"/>
        </w:rPr>
        <w:t>3</w:t>
      </w:r>
      <w:r>
        <w:rPr>
          <w:rFonts w:hint="eastAsia" w:ascii="仿宋_GB2312" w:eastAsia="仿宋_GB2312"/>
          <w:sz w:val="24"/>
        </w:rPr>
        <w:t>年，公司纳税</w:t>
      </w:r>
      <w:r>
        <w:rPr>
          <w:rFonts w:ascii="华文细黑" w:hAnsi="华文细黑" w:eastAsia="华文细黑"/>
        </w:rPr>
        <w:t>51</w:t>
      </w:r>
      <w:r>
        <w:rPr>
          <w:rFonts w:hint="eastAsia" w:ascii="华文细黑" w:hAnsi="华文细黑" w:eastAsia="华文细黑"/>
          <w:lang w:val="en-US" w:eastAsia="zh-CN"/>
        </w:rPr>
        <w:t>5</w:t>
      </w:r>
      <w:r>
        <w:rPr>
          <w:rFonts w:hint="eastAsia" w:ascii="仿宋_GB2312" w:eastAsia="仿宋_GB2312"/>
          <w:sz w:val="24"/>
        </w:rPr>
        <w:t>万元，为国家税收和地方经济的发展做出了积极的贡献。</w:t>
      </w:r>
    </w:p>
    <w:p>
      <w:pPr>
        <w:pStyle w:val="3"/>
        <w:rPr>
          <w:b w:val="0"/>
          <w:sz w:val="30"/>
          <w:szCs w:val="30"/>
        </w:rPr>
      </w:pPr>
      <w:bookmarkStart w:id="8" w:name="_Toc23224"/>
      <w:r>
        <w:rPr>
          <w:rFonts w:hint="eastAsia"/>
          <w:b w:val="0"/>
          <w:sz w:val="30"/>
          <w:szCs w:val="30"/>
        </w:rPr>
        <w:t>（三）构建和谐的投资者关系</w:t>
      </w:r>
      <w:bookmarkEnd w:id="8"/>
    </w:p>
    <w:p>
      <w:pPr>
        <w:spacing w:line="360" w:lineRule="auto"/>
        <w:ind w:firstLine="480" w:firstLineChars="200"/>
        <w:rPr>
          <w:rFonts w:ascii="仿宋_GB2312" w:eastAsia="仿宋_GB2312"/>
          <w:sz w:val="24"/>
        </w:rPr>
      </w:pPr>
      <w:r>
        <w:rPr>
          <w:rFonts w:hint="eastAsia" w:ascii="仿宋_GB2312" w:eastAsia="仿宋_GB2312"/>
          <w:sz w:val="24"/>
        </w:rPr>
        <w:t>实现股东利益最大化是公司的战略目标之一，维护广大股东权益、加强投资者关系管理是公司工作的重要组成部分。公司坚持诚实尽职履行信息披露义务，同时，为积极促进公司与股东之间的沟通交流，使投资者能更加深入地了解公司的发展战略及经营状况，公司还通过接待财经类杂志采访等多种方式与投资者积极沟通。一方面更好地宣传公司投资价值，增强投资者信心，吸引稳健型投资者，另一方面，通过听取专业意见，结合公司自身生产经营情况，为公司领导的决策提供信息、献计献策。</w:t>
      </w:r>
    </w:p>
    <w:p>
      <w:pPr>
        <w:pStyle w:val="3"/>
        <w:rPr>
          <w:b w:val="0"/>
          <w:sz w:val="30"/>
          <w:szCs w:val="30"/>
        </w:rPr>
      </w:pPr>
      <w:bookmarkStart w:id="9" w:name="_Toc5945"/>
      <w:r>
        <w:rPr>
          <w:rFonts w:hint="eastAsia"/>
          <w:b w:val="0"/>
          <w:sz w:val="30"/>
          <w:szCs w:val="30"/>
        </w:rPr>
        <w:t>（四）为客户提供高质量的产品和服务</w:t>
      </w:r>
      <w:bookmarkEnd w:id="9"/>
    </w:p>
    <w:p>
      <w:pPr>
        <w:spacing w:line="360" w:lineRule="auto"/>
        <w:ind w:firstLine="480" w:firstLineChars="200"/>
        <w:rPr>
          <w:rFonts w:ascii="仿宋_GB2312" w:eastAsia="仿宋_GB2312"/>
          <w:sz w:val="24"/>
        </w:rPr>
      </w:pPr>
      <w:r>
        <w:rPr>
          <w:rFonts w:hint="eastAsia" w:ascii="仿宋_GB2312" w:eastAsia="仿宋_GB2312"/>
          <w:sz w:val="24"/>
        </w:rPr>
        <w:t>公司始终坚持“求是、创新，做好膜”的质量方针，将稳定和提升产品质量作为全员共同奋斗的目标，并通过长期实践逐渐形成质量控制循环体系：掌握客户需求，团队协同设计，标准规范制造，监测分析改进，预防减免风险，销售交付得当，技术支持服务，客户满意提升。</w:t>
      </w:r>
    </w:p>
    <w:p>
      <w:pPr>
        <w:spacing w:line="360" w:lineRule="auto"/>
        <w:ind w:firstLine="480" w:firstLineChars="200"/>
      </w:pPr>
      <w:r>
        <w:rPr>
          <w:rFonts w:hint="eastAsia" w:ascii="仿宋_GB2312" w:eastAsia="仿宋_GB2312"/>
          <w:sz w:val="24"/>
          <w:lang w:eastAsia="zh-CN"/>
        </w:rPr>
        <w:t>（</w:t>
      </w:r>
      <w:r>
        <w:rPr>
          <w:rFonts w:hint="eastAsia" w:ascii="仿宋_GB2312" w:eastAsia="仿宋_GB2312"/>
          <w:sz w:val="24"/>
          <w:lang w:val="en-US" w:eastAsia="zh-CN"/>
        </w:rPr>
        <w:t>1）</w:t>
      </w:r>
      <w:r>
        <w:rPr>
          <w:rFonts w:ascii="仿宋" w:hAnsi="仿宋" w:eastAsia="仿宋" w:cs="仿宋"/>
          <w:color w:val="000000"/>
          <w:kern w:val="0"/>
          <w:sz w:val="24"/>
          <w:szCs w:val="24"/>
          <w:lang w:val="en-US" w:eastAsia="zh-CN" w:bidi="ar"/>
        </w:rPr>
        <w:t>进一步完善管理体系建设，突出质量监管</w:t>
      </w:r>
    </w:p>
    <w:p>
      <w:pPr>
        <w:spacing w:line="360" w:lineRule="auto"/>
        <w:ind w:firstLine="480" w:firstLineChars="200"/>
        <w:rPr>
          <w:rFonts w:hint="eastAsia" w:ascii="仿宋_GB2312" w:eastAsia="仿宋_GB2312"/>
          <w:sz w:val="24"/>
        </w:rPr>
      </w:pPr>
      <w:r>
        <w:rPr>
          <w:rFonts w:hint="eastAsia" w:ascii="仿宋_GB2312" w:eastAsia="仿宋_GB2312"/>
          <w:sz w:val="24"/>
        </w:rPr>
        <w:t>持续监督和审核：建立定期的内部审核和外部认证机制，对质量监管体系进行定期的评估和审查，发现问题并提出改进措施。</w:t>
      </w:r>
    </w:p>
    <w:p>
      <w:pPr>
        <w:spacing w:line="360" w:lineRule="auto"/>
        <w:ind w:firstLine="480" w:firstLineChars="200"/>
        <w:rPr>
          <w:rFonts w:hint="eastAsia" w:ascii="仿宋_GB2312" w:eastAsia="仿宋_GB2312"/>
          <w:sz w:val="24"/>
        </w:rPr>
      </w:pPr>
      <w:r>
        <w:rPr>
          <w:rFonts w:hint="eastAsia" w:ascii="仿宋_GB2312" w:eastAsia="仿宋_GB2312"/>
          <w:sz w:val="24"/>
        </w:rPr>
        <w:t>不断改进和创新：促进全员参与质量改进活动，建立改进意见反馈机制，不断挖掘潜在问题和提升改进的效果。</w:t>
      </w:r>
    </w:p>
    <w:p>
      <w:pPr>
        <w:spacing w:line="360" w:lineRule="auto"/>
        <w:ind w:firstLine="480" w:firstLineChars="200"/>
        <w:rPr>
          <w:rFonts w:hint="eastAsia" w:ascii="仿宋_GB2312" w:eastAsia="仿宋_GB2312"/>
          <w:sz w:val="24"/>
        </w:rPr>
      </w:pPr>
      <w:r>
        <w:rPr>
          <w:rFonts w:hint="eastAsia" w:ascii="仿宋_GB2312" w:eastAsia="仿宋_GB2312"/>
          <w:sz w:val="24"/>
        </w:rPr>
        <w:t>与供应商的合作：与供应商建立良好的合作关系，建立供应链质量管理和监控机制，以确保原材料和外包服务的质量符合标准和要求。</w:t>
      </w:r>
    </w:p>
    <w:p>
      <w:pPr>
        <w:spacing w:line="360" w:lineRule="auto"/>
        <w:ind w:firstLine="480" w:firstLineChars="200"/>
        <w:rPr>
          <w:rFonts w:hint="eastAsia" w:ascii="仿宋_GB2312" w:eastAsia="仿宋_GB2312"/>
          <w:sz w:val="24"/>
        </w:rPr>
      </w:pPr>
      <w:r>
        <w:rPr>
          <w:rFonts w:hint="eastAsia" w:ascii="仿宋_GB2312" w:eastAsia="仿宋_GB2312"/>
          <w:sz w:val="24"/>
        </w:rPr>
        <w:t>技术创新与趋势的跟随：积极应对新技术和市场趋势，关注新的管理理念和方法，将其引入质量监管体系，不断提升质量管理水平。</w:t>
      </w:r>
    </w:p>
    <w:p>
      <w:pPr>
        <w:spacing w:line="360" w:lineRule="auto"/>
        <w:ind w:firstLine="480" w:firstLineChars="200"/>
        <w:rPr>
          <w:rFonts w:ascii="仿宋_GB2312" w:eastAsia="仿宋_GB2312"/>
          <w:sz w:val="24"/>
        </w:rPr>
      </w:pPr>
      <w:r>
        <w:rPr>
          <w:rFonts w:hint="eastAsia" w:ascii="仿宋_GB2312" w:eastAsia="仿宋_GB2312"/>
          <w:sz w:val="24"/>
        </w:rPr>
        <w:t>（2）进一步推进精细化管理和差别化管理</w:t>
      </w:r>
    </w:p>
    <w:p>
      <w:pPr>
        <w:spacing w:line="360" w:lineRule="auto"/>
        <w:ind w:firstLine="480" w:firstLineChars="200"/>
        <w:rPr>
          <w:rFonts w:ascii="仿宋_GB2312" w:eastAsia="仿宋_GB2312"/>
          <w:sz w:val="24"/>
        </w:rPr>
      </w:pPr>
      <w:r>
        <w:rPr>
          <w:rFonts w:hint="eastAsia" w:ascii="仿宋_GB2312" w:eastAsia="仿宋_GB2312"/>
          <w:sz w:val="24"/>
        </w:rPr>
        <w:t>　精细化管理是一项长期的系统工程，也是一项无处不在、无时不在、永无止境的工作。面对更加复杂的局面，更加严峻的形势和更加激烈的竞争，我们更要精耕细作，精细管理，梳理漏洞找短板，自我加压定措施，加大执行强推进，不断提升企业管理水平。</w:t>
      </w:r>
    </w:p>
    <w:p>
      <w:pPr>
        <w:spacing w:line="360" w:lineRule="auto"/>
        <w:ind w:firstLine="480" w:firstLineChars="200"/>
        <w:rPr>
          <w:rFonts w:ascii="仿宋_GB2312" w:eastAsia="仿宋_GB2312"/>
          <w:sz w:val="24"/>
        </w:rPr>
      </w:pPr>
      <w:r>
        <w:rPr>
          <w:rFonts w:hint="eastAsia" w:ascii="仿宋_GB2312" w:eastAsia="仿宋_GB2312"/>
          <w:sz w:val="24"/>
        </w:rPr>
        <w:t>（3）着力深化结构调整</w:t>
      </w:r>
    </w:p>
    <w:p>
      <w:pPr>
        <w:spacing w:line="360" w:lineRule="auto"/>
        <w:ind w:firstLine="480" w:firstLineChars="200"/>
        <w:rPr>
          <w:rFonts w:ascii="仿宋_GB2312" w:eastAsia="仿宋_GB2312"/>
          <w:sz w:val="24"/>
        </w:rPr>
      </w:pPr>
      <w:r>
        <w:rPr>
          <w:rFonts w:hint="eastAsia" w:ascii="仿宋_GB2312" w:eastAsia="仿宋_GB2312"/>
          <w:sz w:val="24"/>
        </w:rPr>
        <w:t>继续加快产品结构调整，以“绿色环保+技术驱动+精细管理”为指导思想，通过提高产品和配件的通用性，优化系列和型号，不断深化和优化产品的结构。</w:t>
      </w:r>
    </w:p>
    <w:p>
      <w:pPr>
        <w:spacing w:line="360" w:lineRule="auto"/>
        <w:ind w:firstLine="480" w:firstLineChars="200"/>
        <w:rPr>
          <w:rFonts w:ascii="仿宋_GB2312" w:eastAsia="仿宋_GB2312"/>
          <w:sz w:val="24"/>
        </w:rPr>
      </w:pPr>
      <w:r>
        <w:rPr>
          <w:rFonts w:hint="eastAsia" w:ascii="仿宋_GB2312" w:eastAsia="仿宋_GB2312"/>
          <w:sz w:val="24"/>
          <w:lang w:eastAsia="zh-CN"/>
        </w:rPr>
        <w:t>（</w:t>
      </w:r>
      <w:r>
        <w:rPr>
          <w:rFonts w:hint="eastAsia" w:ascii="仿宋_GB2312" w:eastAsia="仿宋_GB2312"/>
          <w:sz w:val="24"/>
          <w:lang w:val="en-US" w:eastAsia="zh-CN"/>
        </w:rPr>
        <w:t>4）</w:t>
      </w:r>
      <w:r>
        <w:rPr>
          <w:rFonts w:hint="eastAsia" w:ascii="仿宋_GB2312" w:eastAsia="仿宋_GB2312"/>
          <w:sz w:val="24"/>
        </w:rPr>
        <w:t>顾客满意度测量</w:t>
      </w:r>
    </w:p>
    <w:p>
      <w:pPr>
        <w:spacing w:line="360" w:lineRule="auto"/>
        <w:ind w:firstLine="480" w:firstLineChars="200"/>
        <w:rPr>
          <w:rFonts w:ascii="Verdana" w:hAnsi="Verdana" w:cs="宋体"/>
          <w:kern w:val="0"/>
          <w:sz w:val="20"/>
          <w:szCs w:val="20"/>
        </w:rPr>
      </w:pPr>
      <w:r>
        <w:rPr>
          <w:rFonts w:hint="eastAsia" w:ascii="仿宋_GB2312" w:eastAsia="仿宋_GB2312"/>
          <w:sz w:val="24"/>
        </w:rPr>
        <w:t>公司每年进行客户满意度测评工作，并不断对调查程序进行改进，对战略客户、重要客户、一般客户的分类满意度调查，覆盖售前、售中、售后各阶段。</w:t>
      </w:r>
      <w:r>
        <w:rPr>
          <w:rFonts w:ascii="Verdana" w:hAnsi="Verdana" w:cs="宋体"/>
          <w:kern w:val="0"/>
          <w:sz w:val="20"/>
          <w:szCs w:val="20"/>
        </w:rPr>
        <w:t> </w:t>
      </w:r>
    </w:p>
    <w:p>
      <w:pPr>
        <w:pStyle w:val="2"/>
        <w:rPr>
          <w:sz w:val="36"/>
          <w:szCs w:val="36"/>
        </w:rPr>
      </w:pPr>
      <w:bookmarkStart w:id="10" w:name="_Toc24636"/>
      <w:r>
        <w:rPr>
          <w:rFonts w:hint="eastAsia"/>
          <w:sz w:val="36"/>
          <w:szCs w:val="36"/>
        </w:rPr>
        <w:t>四、在促进环境及生态可持续发展方面履行的社会责任</w:t>
      </w:r>
      <w:bookmarkEnd w:id="10"/>
    </w:p>
    <w:p>
      <w:pPr>
        <w:spacing w:line="360" w:lineRule="auto"/>
        <w:ind w:firstLine="480" w:firstLineChars="200"/>
        <w:rPr>
          <w:rFonts w:ascii="仿宋_GB2312" w:eastAsia="仿宋_GB2312"/>
          <w:sz w:val="24"/>
        </w:rPr>
      </w:pPr>
      <w:r>
        <w:rPr>
          <w:rFonts w:hint="eastAsia" w:ascii="仿宋_GB2312" w:eastAsia="仿宋_GB2312"/>
          <w:sz w:val="24"/>
        </w:rPr>
        <w:t>作为环保膜行业的领军企业，公司顺应未来低碳经济发展方向，努力打造绿色产品生产链，从能源节约、清洁生产过程、清洁产品几方面着手，抓好产品生命周期全过程和生产全过程的控制，力求使生产经营对环境的影响降到最低限度，致力于推动整个产业链的绿色环保，并在不断创新中探索出一条向新型发展方式转变的道路。</w:t>
      </w:r>
    </w:p>
    <w:p>
      <w:pPr>
        <w:pStyle w:val="3"/>
        <w:rPr>
          <w:b w:val="0"/>
          <w:sz w:val="30"/>
          <w:szCs w:val="30"/>
        </w:rPr>
      </w:pPr>
      <w:bookmarkStart w:id="11" w:name="_Toc32715"/>
      <w:r>
        <w:rPr>
          <w:rFonts w:hint="eastAsia"/>
          <w:b w:val="0"/>
          <w:sz w:val="30"/>
          <w:szCs w:val="30"/>
        </w:rPr>
        <w:t>（一）注重能源节约</w:t>
      </w:r>
      <w:bookmarkEnd w:id="11"/>
    </w:p>
    <w:p>
      <w:pPr>
        <w:spacing w:line="360" w:lineRule="auto"/>
        <w:ind w:firstLine="480" w:firstLineChars="200"/>
        <w:rPr>
          <w:rFonts w:ascii="仿宋_GB2312" w:eastAsia="仿宋_GB2312"/>
          <w:sz w:val="24"/>
        </w:rPr>
      </w:pPr>
      <w:r>
        <w:rPr>
          <w:rFonts w:hint="eastAsia" w:ascii="仿宋_GB2312" w:eastAsia="仿宋_GB2312"/>
          <w:sz w:val="24"/>
        </w:rPr>
        <w:t>产品制造需消耗较多资源能源，因此公司始终将能源节约作为重点工作常抓不懈，通过强化能源计量监控体系建设，加强新型节能装备与技术的推广应用和节能技术改造，不断提升能源利用效率，积极推进“两型”企业建设。</w:t>
      </w:r>
    </w:p>
    <w:p>
      <w:pPr>
        <w:spacing w:line="360" w:lineRule="auto"/>
        <w:ind w:firstLine="480" w:firstLineChars="200"/>
        <w:rPr>
          <w:rFonts w:ascii="仿宋_GB2312" w:eastAsia="仿宋_GB2312"/>
          <w:sz w:val="24"/>
        </w:rPr>
      </w:pPr>
      <w:r>
        <w:rPr>
          <w:rFonts w:hint="eastAsia" w:ascii="仿宋_GB2312" w:eastAsia="仿宋_GB2312"/>
          <w:sz w:val="24"/>
        </w:rPr>
        <w:t>公司通过提升现有工艺设备水平以及绿色生产水平的措施和精细化管理水平，提高现有生产设备能源的利用效率和降低浪费。生产设备技改前后主要在淘汰落后设备、简化工艺流程、机器代人等方面做了改进，整改后的设备单位产值能耗和增加值能耗指标都呈下降趋势，对公司的自身产业升级和节能降耗起到了重要作用。强化能源计量管理，加强能资源消耗的日常监控；积极实施技术改造项目。</w:t>
      </w:r>
    </w:p>
    <w:p>
      <w:pPr>
        <w:pStyle w:val="3"/>
        <w:rPr>
          <w:b w:val="0"/>
          <w:sz w:val="30"/>
          <w:szCs w:val="30"/>
        </w:rPr>
      </w:pPr>
      <w:bookmarkStart w:id="12" w:name="_Toc3781"/>
      <w:r>
        <w:rPr>
          <w:rFonts w:hint="eastAsia"/>
          <w:b w:val="0"/>
          <w:sz w:val="30"/>
          <w:szCs w:val="30"/>
        </w:rPr>
        <w:t>（二）注重清洁生产、绿色制造过程</w:t>
      </w:r>
      <w:bookmarkEnd w:id="12"/>
    </w:p>
    <w:p>
      <w:pPr>
        <w:spacing w:line="360" w:lineRule="auto"/>
        <w:ind w:firstLine="480" w:firstLineChars="200"/>
        <w:rPr>
          <w:rFonts w:ascii="仿宋_GB2312" w:eastAsia="仿宋_GB2312"/>
          <w:i/>
          <w:color w:val="FF0000"/>
          <w:sz w:val="24"/>
        </w:rPr>
      </w:pPr>
      <w:r>
        <w:rPr>
          <w:rFonts w:hint="eastAsia" w:ascii="仿宋_GB2312" w:eastAsia="仿宋_GB2312"/>
          <w:sz w:val="24"/>
        </w:rPr>
        <w:t>公司生产过程严格按照ISO14001环境质量体系执行，不断推动绿色制造。公司无利用价值的废料、废渣、废纸与资源回收公司合作，由资源回收公司回收处理，并签有年度合作协议。</w:t>
      </w:r>
    </w:p>
    <w:p>
      <w:pPr>
        <w:pStyle w:val="3"/>
        <w:rPr>
          <w:b w:val="0"/>
          <w:sz w:val="30"/>
          <w:szCs w:val="30"/>
        </w:rPr>
      </w:pPr>
      <w:bookmarkStart w:id="13" w:name="_Toc16534"/>
      <w:r>
        <w:rPr>
          <w:rFonts w:hint="eastAsia"/>
          <w:b w:val="0"/>
          <w:sz w:val="30"/>
          <w:szCs w:val="30"/>
        </w:rPr>
        <w:t>（三）注重强化创新驱动</w:t>
      </w:r>
      <w:bookmarkEnd w:id="13"/>
    </w:p>
    <w:p>
      <w:pPr>
        <w:spacing w:line="360" w:lineRule="auto"/>
        <w:ind w:firstLine="480" w:firstLineChars="200"/>
        <w:rPr>
          <w:rFonts w:ascii="仿宋_GB2312" w:eastAsia="仿宋_GB2312"/>
          <w:sz w:val="24"/>
        </w:rPr>
      </w:pPr>
      <w:r>
        <w:rPr>
          <w:rFonts w:hint="eastAsia" w:ascii="仿宋_GB2312" w:eastAsia="仿宋_GB2312"/>
          <w:sz w:val="24"/>
        </w:rPr>
        <w:t>公司不仅在生产过程中注重节能减排，更下大力气开发更多符合节能环保要求的高端领域新产品，将节能环保理念向产业的下游领域延伸。</w:t>
      </w:r>
    </w:p>
    <w:p>
      <w:pPr>
        <w:spacing w:line="360" w:lineRule="auto"/>
        <w:ind w:firstLine="480" w:firstLineChars="200"/>
        <w:rPr>
          <w:rFonts w:ascii="仿宋_GB2312" w:eastAsia="仿宋_GB2312"/>
          <w:sz w:val="24"/>
        </w:rPr>
      </w:pPr>
      <w:r>
        <w:rPr>
          <w:rFonts w:hint="eastAsia" w:ascii="仿宋_GB2312" w:eastAsia="仿宋_GB2312"/>
          <w:sz w:val="24"/>
        </w:rPr>
        <w:t>为保护环境，实现清洁生产,公司坚持产品研发高端化战略，进一步完善产品研发架构，不断加大对新产品的研究和开发力度。不断提升公司研发中心集成开发、基础实验和综合检测能力，将开发更专业、更先进的产品及系统解决方案作为研发方向，提升技术含量，保持技术领先地位。</w:t>
      </w:r>
    </w:p>
    <w:p>
      <w:pPr>
        <w:spacing w:line="360" w:lineRule="auto"/>
        <w:ind w:firstLine="480" w:firstLineChars="200"/>
        <w:rPr>
          <w:rFonts w:ascii="仿宋_GB2312" w:eastAsia="仿宋_GB2312"/>
          <w:sz w:val="24"/>
        </w:rPr>
      </w:pPr>
      <w:r>
        <w:rPr>
          <w:rFonts w:hint="eastAsia" w:ascii="仿宋_GB2312" w:eastAsia="仿宋_GB2312"/>
          <w:sz w:val="24"/>
        </w:rPr>
        <w:t>采用新原料、新工艺，降低物耗、能耗，节约用水，改善环境，积极推行清洁生产技术，实现技术、品牌、质量、性能、节能环保等方面在行业内的全面领先。</w:t>
      </w:r>
    </w:p>
    <w:p>
      <w:pPr>
        <w:pStyle w:val="2"/>
        <w:rPr>
          <w:sz w:val="36"/>
          <w:szCs w:val="36"/>
        </w:rPr>
      </w:pPr>
      <w:bookmarkStart w:id="14" w:name="_Toc22488"/>
      <w:r>
        <w:rPr>
          <w:rFonts w:hint="eastAsia"/>
          <w:sz w:val="36"/>
          <w:szCs w:val="36"/>
        </w:rPr>
        <w:t>五、在促进社会可持续发展方面履行的社会责任</w:t>
      </w:r>
      <w:bookmarkEnd w:id="14"/>
    </w:p>
    <w:p>
      <w:pPr>
        <w:pStyle w:val="3"/>
        <w:rPr>
          <w:b w:val="0"/>
          <w:sz w:val="30"/>
          <w:szCs w:val="30"/>
        </w:rPr>
      </w:pPr>
      <w:bookmarkStart w:id="15" w:name="_Toc28955"/>
      <w:r>
        <w:rPr>
          <w:rFonts w:hint="eastAsia"/>
          <w:b w:val="0"/>
          <w:sz w:val="30"/>
          <w:szCs w:val="30"/>
        </w:rPr>
        <w:t>（一）保障股东权益</w:t>
      </w:r>
      <w:bookmarkEnd w:id="15"/>
    </w:p>
    <w:p>
      <w:pPr>
        <w:spacing w:line="360" w:lineRule="auto"/>
        <w:ind w:firstLine="480" w:firstLineChars="200"/>
        <w:rPr>
          <w:rFonts w:ascii="仿宋_GB2312" w:eastAsia="仿宋_GB2312"/>
          <w:sz w:val="24"/>
        </w:rPr>
      </w:pPr>
      <w:r>
        <w:rPr>
          <w:rFonts w:ascii="仿宋_GB2312" w:eastAsia="仿宋_GB2312"/>
          <w:sz w:val="24"/>
        </w:rPr>
        <w:t>公司自成立以来，严格按照《公司法》、</w:t>
      </w:r>
      <w:r>
        <w:rPr>
          <w:rFonts w:hint="eastAsia" w:ascii="仿宋_GB2312" w:eastAsia="仿宋_GB2312"/>
          <w:sz w:val="24"/>
        </w:rPr>
        <w:t>《</w:t>
      </w:r>
      <w:r>
        <w:rPr>
          <w:rFonts w:ascii="仿宋_GB2312" w:eastAsia="仿宋_GB2312"/>
          <w:sz w:val="24"/>
        </w:rPr>
        <w:t>公司章程</w:t>
      </w:r>
      <w:r>
        <w:rPr>
          <w:rFonts w:hint="eastAsia" w:ascii="仿宋_GB2312" w:eastAsia="仿宋_GB2312"/>
          <w:sz w:val="24"/>
        </w:rPr>
        <w:t>》等有关法律法规和规章制度的</w:t>
      </w:r>
      <w:r>
        <w:rPr>
          <w:rFonts w:ascii="仿宋_GB2312" w:eastAsia="仿宋_GB2312"/>
          <w:sz w:val="24"/>
        </w:rPr>
        <w:t>要求，规范运作，不断完善公司治理结构，公平对待所有股东，确保股东充分享有法律、法规、规章所规定的各项权益。公司制定并完善了《公司章程》、</w:t>
      </w:r>
      <w:r>
        <w:rPr>
          <w:rFonts w:hint="eastAsia" w:ascii="仿宋_GB2312" w:eastAsia="仿宋_GB2312"/>
          <w:sz w:val="24"/>
        </w:rPr>
        <w:t>《董事会议事规则》、《资金使用和管理办法》、《采购控制程序》等规章制度</w:t>
      </w:r>
      <w:r>
        <w:rPr>
          <w:rFonts w:ascii="仿宋_GB2312" w:eastAsia="仿宋_GB2312"/>
          <w:sz w:val="24"/>
        </w:rPr>
        <w:t>，公司操作规范、运作有效，充分维护了</w:t>
      </w:r>
      <w:r>
        <w:rPr>
          <w:rFonts w:hint="eastAsia" w:ascii="仿宋_GB2312" w:eastAsia="仿宋_GB2312"/>
          <w:sz w:val="24"/>
        </w:rPr>
        <w:t>员工和客户的</w:t>
      </w:r>
      <w:r>
        <w:rPr>
          <w:rFonts w:ascii="仿宋_GB2312" w:eastAsia="仿宋_GB2312"/>
          <w:sz w:val="24"/>
        </w:rPr>
        <w:t>利益。</w:t>
      </w:r>
    </w:p>
    <w:p>
      <w:pPr>
        <w:spacing w:line="360" w:lineRule="auto"/>
        <w:ind w:firstLine="480" w:firstLineChars="200"/>
        <w:rPr>
          <w:rFonts w:ascii="仿宋_GB2312" w:eastAsia="仿宋_GB2312"/>
          <w:sz w:val="24"/>
          <w:highlight w:val="none"/>
        </w:rPr>
      </w:pPr>
      <w:r>
        <w:rPr>
          <w:rFonts w:hint="eastAsia" w:ascii="仿宋_GB2312" w:eastAsia="仿宋_GB2312"/>
          <w:sz w:val="24"/>
          <w:highlight w:val="none"/>
        </w:rPr>
        <w:t>202</w:t>
      </w:r>
      <w:r>
        <w:rPr>
          <w:rFonts w:hint="eastAsia" w:ascii="仿宋_GB2312" w:eastAsia="仿宋_GB2312"/>
          <w:sz w:val="24"/>
          <w:highlight w:val="none"/>
          <w:lang w:val="en-US" w:eastAsia="zh-CN"/>
        </w:rPr>
        <w:t>3</w:t>
      </w:r>
      <w:r>
        <w:rPr>
          <w:rFonts w:hint="eastAsia" w:ascii="仿宋_GB2312" w:eastAsia="仿宋_GB2312"/>
          <w:sz w:val="24"/>
          <w:highlight w:val="none"/>
        </w:rPr>
        <w:t>年，全球经济尽管相当不易，但总体而言实现了几个重要目标，包括经济增长和抗击通胀。就经济恢复而言，我国宏观经济虽总体运行平稳，但经济下行压力和风险依然较大，企业经营困难等问题普遍突出。针对市场的现实需求和潜在需求，确定研发方向，做好技术储备，使企业的科技创新能力和市场拓展能力更加协调。公司加大研发投入力度（每年投入占比不低于</w:t>
      </w:r>
      <w:r>
        <w:rPr>
          <w:rFonts w:hint="eastAsia" w:ascii="仿宋_GB2312" w:eastAsia="仿宋_GB2312"/>
          <w:sz w:val="24"/>
          <w:highlight w:val="none"/>
          <w:lang w:val="en-US" w:eastAsia="zh-CN"/>
        </w:rPr>
        <w:t>5</w:t>
      </w:r>
      <w:r>
        <w:rPr>
          <w:rFonts w:hint="eastAsia" w:ascii="仿宋_GB2312" w:eastAsia="仿宋_GB2312"/>
          <w:sz w:val="24"/>
          <w:highlight w:val="none"/>
        </w:rPr>
        <w:t>%），完善企业技术创新体系，培育产业核心技术、关键工艺与自主知识产权，研究开发功能性、差别化产品，提高高附加值产品比重。</w:t>
      </w:r>
    </w:p>
    <w:p>
      <w:pPr>
        <w:spacing w:line="360" w:lineRule="auto"/>
        <w:ind w:firstLine="480" w:firstLineChars="200"/>
        <w:rPr>
          <w:rFonts w:ascii="仿宋_GB2312" w:eastAsia="仿宋_GB2312"/>
          <w:sz w:val="24"/>
          <w:highlight w:val="none"/>
        </w:rPr>
      </w:pPr>
      <w:r>
        <w:rPr>
          <w:rFonts w:hint="eastAsia" w:ascii="仿宋_GB2312" w:eastAsia="仿宋_GB2312"/>
          <w:sz w:val="24"/>
          <w:highlight w:val="none"/>
        </w:rPr>
        <w:t>不断加大对新产品的研究和开发力度。不断提升公司研发中心集成开发、基础实验和综合检测能力，将开发更专业、更先进的产品及系统解决方案作为研发方向，提升技术含量，保持技术领先地位。</w:t>
      </w:r>
    </w:p>
    <w:p>
      <w:pPr>
        <w:pStyle w:val="3"/>
        <w:rPr>
          <w:b w:val="0"/>
          <w:sz w:val="30"/>
          <w:szCs w:val="30"/>
        </w:rPr>
      </w:pPr>
      <w:bookmarkStart w:id="16" w:name="_Toc6310"/>
      <w:r>
        <w:rPr>
          <w:rFonts w:hint="eastAsia"/>
          <w:b w:val="0"/>
          <w:sz w:val="30"/>
          <w:szCs w:val="30"/>
        </w:rPr>
        <w:t>（二）强化员工培训</w:t>
      </w:r>
      <w:bookmarkEnd w:id="16"/>
    </w:p>
    <w:p>
      <w:pPr>
        <w:spacing w:line="360" w:lineRule="auto"/>
        <w:ind w:firstLine="480" w:firstLineChars="200"/>
        <w:rPr>
          <w:rFonts w:ascii="仿宋_GB2312" w:eastAsia="仿宋_GB2312"/>
          <w:i/>
          <w:color w:val="FF0000"/>
          <w:sz w:val="24"/>
        </w:rPr>
      </w:pPr>
      <w:r>
        <w:rPr>
          <w:rFonts w:hint="eastAsia" w:ascii="仿宋_GB2312" w:eastAsia="仿宋_GB2312"/>
          <w:sz w:val="24"/>
        </w:rPr>
        <w:t>培训工作更加注重实效，更接地气，可根据员工岗位特性、个人自身特点和职业规划，自助选择个人感兴趣的课程来提升员工各方面的技能和素质；同时利用公司平台针对中高层进行前瞻性培训。</w:t>
      </w:r>
    </w:p>
    <w:p>
      <w:pPr>
        <w:spacing w:line="360" w:lineRule="auto"/>
        <w:ind w:firstLine="480" w:firstLineChars="200"/>
        <w:rPr>
          <w:rFonts w:ascii="仿宋_GB2312" w:eastAsia="仿宋_GB2312"/>
          <w:sz w:val="24"/>
        </w:rPr>
      </w:pPr>
      <w:r>
        <w:rPr>
          <w:rFonts w:hint="eastAsia" w:ascii="仿宋_GB2312" w:eastAsia="仿宋_GB2312"/>
          <w:sz w:val="24"/>
        </w:rPr>
        <w:t>1、系统识别培训需求</w:t>
      </w:r>
    </w:p>
    <w:p>
      <w:pPr>
        <w:spacing w:line="360" w:lineRule="auto"/>
        <w:ind w:firstLine="480" w:firstLineChars="200"/>
        <w:rPr>
          <w:rFonts w:ascii="仿宋_GB2312" w:eastAsia="仿宋_GB2312"/>
          <w:sz w:val="24"/>
        </w:rPr>
      </w:pPr>
      <w:r>
        <w:rPr>
          <w:rFonts w:hint="eastAsia" w:ascii="仿宋_GB2312" w:eastAsia="仿宋_GB2312"/>
          <w:sz w:val="24"/>
        </w:rPr>
        <w:t>根据公司战略规划和年度工作方针目标，结合绩效考核结果、工作岗位需求、员工岗位能力匹配度，以及考虑员工个性化需求等因素，准确识别不同层级、不同部门的培训需求。</w:t>
      </w:r>
    </w:p>
    <w:p>
      <w:pPr>
        <w:spacing w:line="360" w:lineRule="auto"/>
        <w:ind w:firstLine="480" w:firstLineChars="200"/>
        <w:rPr>
          <w:rFonts w:ascii="仿宋_GB2312" w:eastAsia="仿宋_GB2312"/>
          <w:sz w:val="24"/>
        </w:rPr>
      </w:pPr>
      <w:r>
        <w:rPr>
          <w:rFonts w:hint="eastAsia" w:ascii="仿宋_GB2312" w:eastAsia="仿宋_GB2312"/>
          <w:sz w:val="24"/>
        </w:rPr>
        <w:t>2、科学制定培训计划</w:t>
      </w:r>
    </w:p>
    <w:p>
      <w:pPr>
        <w:spacing w:line="360" w:lineRule="auto"/>
        <w:ind w:firstLine="480" w:firstLineChars="200"/>
        <w:rPr>
          <w:rFonts w:ascii="仿宋_GB2312" w:eastAsia="仿宋_GB2312"/>
          <w:sz w:val="24"/>
        </w:rPr>
      </w:pPr>
      <w:r>
        <w:rPr>
          <w:rFonts w:hint="eastAsia" w:ascii="仿宋_GB2312" w:eastAsia="仿宋_GB2312"/>
          <w:sz w:val="24"/>
        </w:rPr>
        <w:t>根据年初对各部门和相关层级及职工代表的培训需求调查，经统计、汇总和分析，结合公司战略，制订年度培训计划.在具体执行过程中根据内外部环境的变化和公司政策的调整，适时开展针对性培训。</w:t>
      </w:r>
    </w:p>
    <w:p>
      <w:pPr>
        <w:spacing w:line="360" w:lineRule="auto"/>
        <w:ind w:firstLine="480" w:firstLineChars="200"/>
        <w:rPr>
          <w:rFonts w:ascii="仿宋_GB2312" w:eastAsia="仿宋_GB2312"/>
          <w:sz w:val="24"/>
        </w:rPr>
      </w:pPr>
      <w:r>
        <w:rPr>
          <w:rFonts w:hint="eastAsia" w:ascii="仿宋_GB2312" w:eastAsia="仿宋_GB2312"/>
          <w:sz w:val="24"/>
        </w:rPr>
        <w:t>3、多项措施确保培训实施</w:t>
      </w:r>
    </w:p>
    <w:p>
      <w:pPr>
        <w:spacing w:line="360" w:lineRule="auto"/>
        <w:ind w:firstLine="480" w:firstLineChars="200"/>
        <w:rPr>
          <w:rFonts w:ascii="仿宋_GB2312" w:eastAsia="仿宋_GB2312"/>
          <w:sz w:val="24"/>
        </w:rPr>
      </w:pPr>
      <w:r>
        <w:rPr>
          <w:rFonts w:hint="eastAsia" w:ascii="仿宋_GB2312" w:eastAsia="仿宋_GB2312"/>
          <w:sz w:val="24"/>
        </w:rPr>
        <w:t>公司建立了涉及高管人员、中层干部、一般管理/技术人员、班组长和普通生产员工五个层级、“研发、生产、营销、供应链”四大专业模块的立体培训课程体系。为确保培训有效实施，构建了阶梯式的内部培训师队伍；采用课堂授课、网络教学、案例分析、行动学习等多种培训方式，提高培训效果。公司领导率先垂范，员工积极参加培训，公司上下形成了创建学习型组织的良好氛围。</w:t>
      </w:r>
    </w:p>
    <w:p>
      <w:pPr>
        <w:spacing w:line="360" w:lineRule="auto"/>
        <w:ind w:firstLine="480" w:firstLineChars="200"/>
        <w:rPr>
          <w:rFonts w:ascii="仿宋_GB2312" w:eastAsia="仿宋_GB2312"/>
          <w:sz w:val="24"/>
        </w:rPr>
      </w:pPr>
      <w:r>
        <w:rPr>
          <w:rFonts w:hint="eastAsia" w:ascii="仿宋_GB2312" w:eastAsia="仿宋_GB2312"/>
          <w:sz w:val="24"/>
        </w:rPr>
        <w:t>4、完善培训效果的评估和考核机制</w:t>
      </w:r>
    </w:p>
    <w:p>
      <w:pPr>
        <w:spacing w:line="360" w:lineRule="auto"/>
        <w:ind w:firstLine="480" w:firstLineChars="200"/>
        <w:rPr>
          <w:rFonts w:ascii="仿宋_GB2312" w:eastAsia="仿宋_GB2312"/>
          <w:sz w:val="24"/>
        </w:rPr>
      </w:pPr>
      <w:r>
        <w:rPr>
          <w:rFonts w:hint="eastAsia" w:ascii="仿宋_GB2312" w:eastAsia="仿宋_GB2312"/>
          <w:sz w:val="24"/>
        </w:rPr>
        <w:t>公司运用多种评估方式对培训效果进行评价，了解受训人员对课程内容、教学方法、培训收获程度以及培训知识和技能的运用情况等方面的评价和建议，为不断改进培训过程和有效性提供了充分的依据。</w:t>
      </w:r>
    </w:p>
    <w:p>
      <w:pPr>
        <w:pStyle w:val="3"/>
        <w:rPr>
          <w:b w:val="0"/>
          <w:sz w:val="30"/>
          <w:szCs w:val="30"/>
        </w:rPr>
      </w:pPr>
      <w:bookmarkStart w:id="17" w:name="_Toc22202"/>
      <w:r>
        <w:rPr>
          <w:rFonts w:hint="eastAsia"/>
          <w:b w:val="0"/>
          <w:sz w:val="30"/>
          <w:szCs w:val="30"/>
        </w:rPr>
        <w:t>（三）深入了解员工需求，提供员工满意度</w:t>
      </w:r>
      <w:bookmarkEnd w:id="17"/>
    </w:p>
    <w:p>
      <w:pPr>
        <w:spacing w:line="360" w:lineRule="auto"/>
        <w:ind w:firstLine="480" w:firstLineChars="200"/>
        <w:rPr>
          <w:rFonts w:ascii="仿宋_GB2312" w:eastAsia="仿宋_GB2312"/>
          <w:sz w:val="24"/>
        </w:rPr>
      </w:pPr>
      <w:r>
        <w:rPr>
          <w:rFonts w:hint="eastAsia" w:ascii="仿宋_GB2312" w:eastAsia="仿宋_GB2312"/>
          <w:sz w:val="24"/>
        </w:rPr>
        <w:t>1、满意度调查</w:t>
      </w:r>
    </w:p>
    <w:p>
      <w:pPr>
        <w:spacing w:line="360" w:lineRule="auto"/>
        <w:ind w:firstLine="480" w:firstLineChars="200"/>
        <w:rPr>
          <w:rFonts w:ascii="仿宋_GB2312" w:eastAsia="仿宋_GB2312"/>
          <w:sz w:val="24"/>
        </w:rPr>
      </w:pPr>
      <w:r>
        <w:rPr>
          <w:rFonts w:hint="eastAsia" w:ascii="仿宋_GB2312" w:eastAsia="仿宋_GB2312"/>
          <w:sz w:val="24"/>
        </w:rPr>
        <w:t>满意度调查的设计：针对工作本身、工作回报、工作环境、工作群体、企业满意度、基层管理等六个方面进行满意度调查。充分了解员工的需求并积极满足。</w:t>
      </w:r>
    </w:p>
    <w:p>
      <w:pPr>
        <w:spacing w:line="360" w:lineRule="auto"/>
        <w:ind w:firstLine="480" w:firstLineChars="200"/>
        <w:rPr>
          <w:rFonts w:ascii="仿宋_GB2312" w:eastAsia="仿宋_GB2312"/>
          <w:sz w:val="24"/>
        </w:rPr>
      </w:pPr>
      <w:r>
        <w:rPr>
          <w:rFonts w:hint="eastAsia" w:ascii="仿宋_GB2312" w:eastAsia="仿宋_GB2312"/>
          <w:sz w:val="24"/>
        </w:rPr>
        <w:t>2、完善员工沟通平台，运用多种形式开展员工需求调查</w:t>
      </w:r>
    </w:p>
    <w:p>
      <w:pPr>
        <w:spacing w:line="360" w:lineRule="auto"/>
        <w:ind w:firstLine="480" w:firstLineChars="200"/>
        <w:rPr>
          <w:rFonts w:ascii="仿宋_GB2312" w:eastAsia="仿宋_GB2312"/>
          <w:sz w:val="24"/>
        </w:rPr>
      </w:pPr>
      <w:r>
        <w:rPr>
          <w:rFonts w:hint="eastAsia" w:ascii="仿宋_GB2312" w:eastAsia="仿宋_GB2312"/>
          <w:sz w:val="24"/>
        </w:rPr>
        <w:t>公司通过开展办公平台、建议箱、专题座谈会等多种途径，广泛收集员工关注的问题和建议，通过分析、评估，确定影响员工权益、满意度和积极性的关键因素。</w:t>
      </w:r>
    </w:p>
    <w:p>
      <w:pPr>
        <w:pStyle w:val="3"/>
        <w:rPr>
          <w:b w:val="0"/>
          <w:sz w:val="30"/>
          <w:szCs w:val="30"/>
        </w:rPr>
      </w:pPr>
      <w:bookmarkStart w:id="18" w:name="_Toc4690"/>
      <w:r>
        <w:rPr>
          <w:rFonts w:hint="eastAsia"/>
          <w:b w:val="0"/>
          <w:sz w:val="30"/>
          <w:szCs w:val="30"/>
        </w:rPr>
        <w:t>（四）加强安全生产</w:t>
      </w:r>
      <w:bookmarkEnd w:id="18"/>
    </w:p>
    <w:p>
      <w:pPr>
        <w:spacing w:line="360" w:lineRule="auto"/>
        <w:ind w:firstLine="480" w:firstLineChars="200"/>
        <w:rPr>
          <w:rFonts w:ascii="仿宋_GB2312" w:eastAsia="仿宋_GB2312"/>
          <w:sz w:val="24"/>
        </w:rPr>
      </w:pPr>
      <w:r>
        <w:rPr>
          <w:rFonts w:hint="eastAsia" w:ascii="仿宋_GB2312" w:eastAsia="仿宋_GB2312"/>
          <w:sz w:val="24"/>
        </w:rPr>
        <w:t>作为一家制造型企业，公司对安全生产保障工作有着深刻的认识，始终坚持“安全就是生产力”的理念，确保设备安全运行、生产安全运行、职工安全上下岗。</w:t>
      </w:r>
    </w:p>
    <w:p>
      <w:pPr>
        <w:spacing w:line="360" w:lineRule="auto"/>
        <w:ind w:firstLine="480" w:firstLineChars="200"/>
        <w:rPr>
          <w:rFonts w:ascii="仿宋_GB2312" w:eastAsia="仿宋_GB2312"/>
          <w:sz w:val="24"/>
        </w:rPr>
      </w:pPr>
      <w:r>
        <w:rPr>
          <w:rFonts w:hint="eastAsia" w:ascii="仿宋_GB2312" w:eastAsia="仿宋_GB2312"/>
          <w:sz w:val="24"/>
        </w:rPr>
        <w:t>202</w:t>
      </w:r>
      <w:r>
        <w:rPr>
          <w:rFonts w:hint="eastAsia" w:ascii="仿宋_GB2312" w:eastAsia="仿宋_GB2312"/>
          <w:sz w:val="24"/>
          <w:lang w:val="en-US" w:eastAsia="zh-CN"/>
        </w:rPr>
        <w:t>3</w:t>
      </w:r>
      <w:r>
        <w:rPr>
          <w:rFonts w:hint="eastAsia" w:ascii="仿宋_GB2312" w:eastAsia="仿宋_GB2312"/>
          <w:sz w:val="24"/>
        </w:rPr>
        <w:t>年，公司继续坚持“安全第一，预防为主、综合管理”的工作原则，以落实安全生产责任制为核心，全面贯彻年初制定的安全生产目标管理方针，在政府有关职能部门的业务指导下，依靠各单位的积极参与和共同努力，全面开展对安全生产、消防安全、安全生产教育培训、特种作业监管、危险化学品监控、事故调查、安全检查、食品安全等安全生产管理工作。</w:t>
      </w:r>
    </w:p>
    <w:p>
      <w:pPr>
        <w:spacing w:line="360" w:lineRule="auto"/>
        <w:ind w:firstLine="480" w:firstLineChars="200"/>
        <w:rPr>
          <w:rFonts w:ascii="仿宋_GB2312" w:eastAsia="仿宋_GB2312"/>
          <w:sz w:val="24"/>
        </w:rPr>
      </w:pPr>
      <w:r>
        <w:rPr>
          <w:rFonts w:hint="eastAsia" w:ascii="仿宋_GB2312" w:eastAsia="仿宋_GB2312"/>
          <w:sz w:val="24"/>
        </w:rPr>
        <w:t>创建安全生产（劳动保护）环境</w:t>
      </w:r>
    </w:p>
    <w:p>
      <w:pPr>
        <w:spacing w:line="360" w:lineRule="auto"/>
        <w:ind w:firstLine="480" w:firstLineChars="200"/>
        <w:rPr>
          <w:rFonts w:ascii="仿宋_GB2312" w:eastAsia="仿宋_GB2312"/>
          <w:sz w:val="24"/>
        </w:rPr>
      </w:pPr>
      <w:r>
        <w:rPr>
          <w:rFonts w:hint="eastAsia" w:ascii="仿宋_GB2312" w:eastAsia="仿宋_GB2312"/>
          <w:sz w:val="24"/>
        </w:rPr>
        <w:t>公司严格执行《民法典》、《安全生产法》和《职业病防治法》等相关法律法规，建立了ISO45001和ISO14000管理体系，制定和完善了《安全生产目标管理责任书》、《安全生产检查实施细则》等制度，不断改善员工工作环境。</w:t>
      </w:r>
    </w:p>
    <w:p>
      <w:pPr>
        <w:spacing w:line="360" w:lineRule="auto"/>
        <w:ind w:firstLine="480" w:firstLineChars="200"/>
        <w:rPr>
          <w:rFonts w:ascii="仿宋_GB2312" w:eastAsia="仿宋_GB2312"/>
          <w:sz w:val="24"/>
        </w:rPr>
      </w:pPr>
      <w:r>
        <w:rPr>
          <w:rFonts w:hint="eastAsia" w:ascii="仿宋_GB2312" w:eastAsia="仿宋_GB2312"/>
          <w:sz w:val="24"/>
        </w:rPr>
        <w:t>组织开展对危险源、环境因素及关键场所的识别，明确测量方法和指标，采取一系列预防措施：改造、更新、完善设施，发放劳保用品，监督劳动保护，监测职业病危害因素和定期职业健康体检等。</w:t>
      </w:r>
    </w:p>
    <w:p>
      <w:pPr>
        <w:spacing w:line="360" w:lineRule="auto"/>
        <w:ind w:firstLine="480" w:firstLineChars="200"/>
        <w:rPr>
          <w:rFonts w:ascii="仿宋_GB2312" w:eastAsia="仿宋_GB2312"/>
          <w:sz w:val="24"/>
        </w:rPr>
      </w:pPr>
      <w:r>
        <w:rPr>
          <w:rFonts w:hint="eastAsia" w:ascii="仿宋_GB2312" w:eastAsia="仿宋_GB2312"/>
          <w:sz w:val="24"/>
        </w:rPr>
        <w:t>（2） 落实安全生产责任制，制定应急预案</w:t>
      </w:r>
    </w:p>
    <w:p>
      <w:pPr>
        <w:spacing w:line="360" w:lineRule="auto"/>
        <w:ind w:firstLine="480" w:firstLineChars="200"/>
        <w:rPr>
          <w:rFonts w:ascii="仿宋_GB2312" w:eastAsia="仿宋_GB2312"/>
          <w:sz w:val="24"/>
        </w:rPr>
      </w:pPr>
      <w:r>
        <w:rPr>
          <w:rFonts w:hint="eastAsia" w:ascii="仿宋_GB2312" w:eastAsia="仿宋_GB2312"/>
          <w:sz w:val="24"/>
        </w:rPr>
        <w:t xml:space="preserve">公司坚持“安全第一，预防为主、综合管理”工作原则，完善三级安全生产网络组织，逐级量化安全生产考核，全面提升安全生产技防水平，安全管理投入较上年增长，新技术和新设备得到广泛应用，事故率明显降低，确保全年无死亡事故，职业病发病率为零。 </w:t>
      </w:r>
    </w:p>
    <w:p>
      <w:pPr>
        <w:spacing w:line="360" w:lineRule="auto"/>
        <w:ind w:firstLine="480" w:firstLineChars="200"/>
        <w:rPr>
          <w:rFonts w:ascii="仿宋_GB2312" w:eastAsia="仿宋_GB2312"/>
          <w:sz w:val="24"/>
        </w:rPr>
      </w:pPr>
      <w:r>
        <w:rPr>
          <w:rFonts w:hint="eastAsia" w:ascii="仿宋_GB2312" w:eastAsia="仿宋_GB2312"/>
          <w:sz w:val="24"/>
        </w:rPr>
        <w:t>（3）积极推进工程安全建设</w:t>
      </w:r>
    </w:p>
    <w:p>
      <w:pPr>
        <w:spacing w:line="360" w:lineRule="auto"/>
        <w:ind w:firstLine="480" w:firstLineChars="200"/>
        <w:rPr>
          <w:rFonts w:ascii="仿宋_GB2312" w:eastAsia="仿宋_GB2312"/>
          <w:sz w:val="24"/>
        </w:rPr>
      </w:pPr>
      <w:r>
        <w:rPr>
          <w:rFonts w:hint="eastAsia" w:ascii="仿宋_GB2312" w:eastAsia="仿宋_GB2312"/>
          <w:sz w:val="24"/>
        </w:rPr>
        <w:t>公司与各部门签订“安全生产责任书”，针对用电、治安、特种设备、特种作业人员、动火、危险作业的施工人员和设备、安全管理组织机构配置专职安全监督管理人员、安全管理规章制度等方面，开展定期和不定期的施工现场检查，通过现场教育下达责令限期整改、经济处罚等形式，做好新、改、扩建项目“三同时”的安全工作，确保工程在施工期间不发生重大事故。</w:t>
      </w:r>
    </w:p>
    <w:p>
      <w:pPr>
        <w:pStyle w:val="3"/>
        <w:rPr>
          <w:b w:val="0"/>
          <w:sz w:val="30"/>
          <w:szCs w:val="30"/>
        </w:rPr>
      </w:pPr>
      <w:bookmarkStart w:id="19" w:name="_Toc577"/>
      <w:r>
        <w:rPr>
          <w:rFonts w:hint="eastAsia"/>
          <w:b w:val="0"/>
          <w:sz w:val="30"/>
          <w:szCs w:val="30"/>
        </w:rPr>
        <w:t>（五）积极投身公益</w:t>
      </w:r>
      <w:bookmarkEnd w:id="19"/>
    </w:p>
    <w:p>
      <w:pPr>
        <w:spacing w:line="360" w:lineRule="auto"/>
        <w:ind w:firstLine="480" w:firstLineChars="200"/>
        <w:rPr>
          <w:rFonts w:hint="eastAsia" w:ascii="仿宋_GB2312" w:eastAsia="仿宋_GB2312"/>
          <w:sz w:val="24"/>
        </w:rPr>
      </w:pPr>
      <w:r>
        <w:rPr>
          <w:rFonts w:hint="eastAsia" w:ascii="仿宋_GB2312" w:eastAsia="仿宋_GB2312"/>
          <w:sz w:val="24"/>
        </w:rPr>
        <w:t>公司的财富源于社会，回馈社会是公司的应尽之责。公司积极关心弱势群体，带动社会就业。公司积极响应国家相关企业申办福利企业的相关政策，吸纳残疾人就业，扶助残疾人自强自力，保障残疾人合法权益，在为地方经济发展做出贡献的同时，促进了社会和谐发展。</w:t>
      </w:r>
    </w:p>
    <w:p>
      <w:pPr>
        <w:spacing w:line="360" w:lineRule="auto"/>
        <w:ind w:firstLine="480" w:firstLineChars="200"/>
        <w:rPr>
          <w:rFonts w:ascii="仿宋_GB2312" w:eastAsia="仿宋_GB2312"/>
          <w:sz w:val="24"/>
          <w:highlight w:val="none"/>
        </w:rPr>
      </w:pPr>
      <w:r>
        <w:rPr>
          <w:rFonts w:hint="eastAsia" w:ascii="仿宋_GB2312" w:eastAsia="仿宋_GB2312"/>
          <w:sz w:val="24"/>
          <w:highlight w:val="none"/>
        </w:rPr>
        <w:t>公司在慈善、社会支持等方面的捐款十余万元。同时，公司积极响应政府相关政策，积极参与城市建设。组织全体员工积极参加每年的“慈善捐助”活动。</w:t>
      </w:r>
      <w:r>
        <w:rPr>
          <w:rFonts w:hint="eastAsia" w:ascii="仿宋_GB2312" w:eastAsia="仿宋_GB2312"/>
          <w:sz w:val="24"/>
          <w:highlight w:val="none"/>
        </w:rPr>
        <w:cr/>
      </w:r>
      <w:r>
        <w:rPr>
          <w:rFonts w:hint="eastAsia" w:ascii="仿宋_GB2312" w:eastAsia="仿宋_GB2312"/>
          <w:sz w:val="24"/>
          <w:highlight w:val="none"/>
        </w:rPr>
        <w:t xml:space="preserve">    </w:t>
      </w:r>
    </w:p>
    <w:p>
      <w:pPr>
        <w:pStyle w:val="2"/>
        <w:rPr>
          <w:rFonts w:hAnsi="仿宋_GB2312"/>
          <w:sz w:val="36"/>
          <w:szCs w:val="36"/>
          <w:highlight w:val="none"/>
        </w:rPr>
      </w:pPr>
      <w:bookmarkStart w:id="20" w:name="_Toc32193"/>
      <w:r>
        <w:rPr>
          <w:rFonts w:hint="eastAsia"/>
          <w:sz w:val="36"/>
          <w:szCs w:val="36"/>
          <w:highlight w:val="none"/>
        </w:rPr>
        <w:t>六、公司荣誉</w:t>
      </w:r>
      <w:bookmarkEnd w:id="20"/>
    </w:p>
    <w:p>
      <w:pPr>
        <w:widowControl/>
        <w:spacing w:line="360" w:lineRule="auto"/>
        <w:ind w:firstLine="480" w:firstLineChars="200"/>
        <w:jc w:val="left"/>
        <w:rPr>
          <w:rFonts w:ascii="仿宋_GB2312" w:eastAsia="仿宋_GB2312"/>
          <w:sz w:val="24"/>
          <w:highlight w:val="none"/>
        </w:rPr>
      </w:pPr>
      <w:r>
        <w:rPr>
          <w:rFonts w:hint="eastAsia" w:ascii="仿宋_GB2312" w:eastAsia="仿宋_GB2312"/>
          <w:sz w:val="24"/>
          <w:highlight w:val="none"/>
        </w:rPr>
        <w:t>公司一直以来都非常重视企业形象建设，通过不断努力，赢得了社会各界广泛认可。</w:t>
      </w:r>
    </w:p>
    <w:p>
      <w:pPr>
        <w:widowControl/>
        <w:spacing w:line="360" w:lineRule="auto"/>
        <w:ind w:firstLine="480" w:firstLineChars="200"/>
        <w:jc w:val="left"/>
        <w:rPr>
          <w:rFonts w:ascii="仿宋_GB2312" w:eastAsia="仿宋_GB2312"/>
          <w:sz w:val="24"/>
          <w:highlight w:val="none"/>
        </w:rPr>
      </w:pPr>
    </w:p>
    <w:p>
      <w:pPr>
        <w:pStyle w:val="2"/>
        <w:rPr>
          <w:sz w:val="36"/>
          <w:szCs w:val="36"/>
          <w:highlight w:val="none"/>
        </w:rPr>
      </w:pPr>
      <w:bookmarkStart w:id="21" w:name="_Toc20232"/>
      <w:r>
        <w:rPr>
          <w:rFonts w:hint="eastAsia"/>
          <w:sz w:val="36"/>
          <w:szCs w:val="36"/>
          <w:highlight w:val="none"/>
        </w:rPr>
        <w:t>七、202</w:t>
      </w:r>
      <w:r>
        <w:rPr>
          <w:rFonts w:hint="eastAsia"/>
          <w:sz w:val="36"/>
          <w:szCs w:val="36"/>
          <w:highlight w:val="none"/>
          <w:lang w:val="en-US" w:eastAsia="zh-CN"/>
        </w:rPr>
        <w:t>4</w:t>
      </w:r>
      <w:r>
        <w:rPr>
          <w:rFonts w:hint="eastAsia"/>
          <w:sz w:val="36"/>
          <w:szCs w:val="36"/>
          <w:highlight w:val="none"/>
        </w:rPr>
        <w:t>年展望</w:t>
      </w:r>
      <w:bookmarkEnd w:id="21"/>
    </w:p>
    <w:p>
      <w:pPr>
        <w:widowControl/>
        <w:spacing w:line="360" w:lineRule="auto"/>
        <w:ind w:firstLine="480" w:firstLineChars="200"/>
        <w:jc w:val="left"/>
        <w:rPr>
          <w:rFonts w:hint="eastAsia" w:ascii="仿宋_GB2312" w:eastAsia="仿宋_GB2312"/>
          <w:sz w:val="24"/>
          <w:highlight w:val="none"/>
        </w:rPr>
      </w:pPr>
      <w:r>
        <w:rPr>
          <w:rFonts w:hint="eastAsia" w:ascii="仿宋_GB2312" w:eastAsia="仿宋_GB2312"/>
          <w:sz w:val="24"/>
          <w:highlight w:val="none"/>
        </w:rPr>
        <w:t>2024年。这一年，全球经济正在经历一场前所未有的变革。对于公司而言，这既是一个挑战，也是一个机遇。在这个关键的转折点，我们有必要对公司的未来进行一次深入的展望。</w:t>
      </w:r>
    </w:p>
    <w:p>
      <w:pPr>
        <w:widowControl/>
        <w:spacing w:line="360" w:lineRule="auto"/>
        <w:ind w:firstLine="480" w:firstLineChars="200"/>
        <w:jc w:val="left"/>
        <w:rPr>
          <w:rFonts w:hint="eastAsia" w:ascii="仿宋_GB2312" w:eastAsia="仿宋_GB2312"/>
          <w:sz w:val="24"/>
          <w:highlight w:val="none"/>
        </w:rPr>
      </w:pPr>
      <w:r>
        <w:rPr>
          <w:rFonts w:hint="eastAsia" w:ascii="仿宋_GB2312" w:eastAsia="仿宋_GB2312"/>
          <w:sz w:val="24"/>
          <w:highlight w:val="none"/>
        </w:rPr>
        <w:t>首先，技术的进步将是决定公司命运的关键因素。特别是人工智能和大数据技术，它们正在改变我们的工作方式和生活方式。公司需要紧跟这一趋势，利用这些技术提升效率和生产力。同时，这也意味着员工需要不断学习新技能，以适应这个快速变化的时代。环保和可持续发展将成为公司无法回避的话题。随着全球气候变化的加剧，越来越多的消费者和企业开始关注环保问题。公司需要积极采取措施，减少对环境的影响，并努力实现可持续发展。这不仅可以提升公司的社会形象，还可以吸引更多关注环保的消费者。</w:t>
      </w:r>
    </w:p>
    <w:p>
      <w:pPr>
        <w:widowControl/>
        <w:spacing w:line="360" w:lineRule="auto"/>
        <w:ind w:firstLine="480" w:firstLineChars="200"/>
        <w:jc w:val="left"/>
        <w:rPr>
          <w:rFonts w:hint="eastAsia" w:ascii="仿宋_GB2312" w:eastAsia="仿宋_GB2312"/>
          <w:sz w:val="24"/>
          <w:highlight w:val="none"/>
        </w:rPr>
      </w:pPr>
      <w:r>
        <w:rPr>
          <w:rFonts w:hint="eastAsia" w:ascii="仿宋_GB2312" w:eastAsia="仿宋_GB2312"/>
          <w:sz w:val="24"/>
          <w:highlight w:val="none"/>
        </w:rPr>
        <w:t>全球化将继续深化，这意味着公司将面临来自世界各地的激烈竞争。为了在这个竞争激烈的市场中立足，公司需要不断提升自身的核心竞争力。这包括提高产品质量、优化服务、创新营销策略等方面。同时，公司还需要关注国际市场的变化，寻找新的商机和发展空间。人才是公司最宝贵的资源。在未来的竞争中，谁拥有更多的人才，谁就拥有了更大的竞争优势。因此，公司需要重视人才的培养和引进。这不仅包括技术人才，也包括管理人才和销售人才。通过提供良好的工作环境和发展机会，公司可以吸引和留住更多优秀的人才。</w:t>
      </w:r>
    </w:p>
    <w:p>
      <w:pPr>
        <w:widowControl/>
        <w:spacing w:line="360" w:lineRule="auto"/>
        <w:ind w:firstLine="480" w:firstLineChars="200"/>
        <w:jc w:val="left"/>
        <w:rPr>
          <w:rFonts w:ascii="仿宋_GB2312" w:eastAsia="仿宋_GB2312"/>
          <w:sz w:val="24"/>
          <w:highlight w:val="none"/>
        </w:rPr>
      </w:pPr>
      <w:r>
        <w:rPr>
          <w:rFonts w:hint="eastAsia" w:ascii="仿宋_GB2312" w:eastAsia="仿宋_GB2312"/>
          <w:sz w:val="24"/>
          <w:highlight w:val="none"/>
        </w:rPr>
        <w:t>最后，公司需要不断创新和变革。在这个快速变化的时代，墨守成规的公司注定会被市场淘汰。公司需要敢于尝试新的商业模式、产品和服务，以适应市场的变化和满足消费者的需求。同时，公司还需要建立一套灵活的组织架构和管理制度，以应对不断变化的市场环境。公司力争以优异的经营业绩回报股东和其他利益相关方，以多样化的科技创新引领行业应用，以开展环保项目建设推进环保工业，以诚挚的关怀和爱护陪伴员工成长，</w:t>
      </w:r>
      <w:bookmarkStart w:id="22" w:name="_GoBack"/>
      <w:bookmarkEnd w:id="22"/>
      <w:r>
        <w:rPr>
          <w:rFonts w:hint="eastAsia" w:ascii="仿宋_GB2312" w:eastAsia="仿宋_GB2312"/>
          <w:sz w:val="24"/>
          <w:highlight w:val="none"/>
        </w:rPr>
        <w:t>以参加和筹办形式多样的公益活动回馈社会，实现企业与社会和谐、与员工和谐、与自然和谐的可持续发展。</w:t>
      </w:r>
    </w:p>
    <w:p>
      <w:pPr>
        <w:spacing w:line="360" w:lineRule="auto"/>
        <w:ind w:firstLine="480" w:firstLineChars="200"/>
        <w:rPr>
          <w:rFonts w:ascii="仿宋_GB2312" w:eastAsia="仿宋_GB2312"/>
          <w:sz w:val="24"/>
          <w:highlight w:val="none"/>
        </w:rPr>
      </w:pPr>
    </w:p>
    <w:p>
      <w:pPr>
        <w:spacing w:line="360" w:lineRule="auto"/>
        <w:ind w:right="480"/>
        <w:rPr>
          <w:rFonts w:ascii="仿宋_GB2312" w:eastAsia="仿宋_GB2312"/>
          <w:sz w:val="24"/>
          <w:highlight w:val="none"/>
        </w:rPr>
      </w:pPr>
    </w:p>
    <w:sectPr>
      <w:footerReference r:id="rId3" w:type="default"/>
      <w:footerReference r:id="rId4" w:type="even"/>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华文细黑">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1"/>
      </w:rPr>
    </w:pPr>
    <w:r>
      <w:rPr>
        <w:rStyle w:val="21"/>
      </w:rPr>
      <w:fldChar w:fldCharType="begin"/>
    </w:r>
    <w:r>
      <w:rPr>
        <w:rStyle w:val="21"/>
      </w:rPr>
      <w:instrText xml:space="preserve">PAGE  </w:instrText>
    </w:r>
    <w:r>
      <w:rPr>
        <w:rStyle w:val="21"/>
      </w:rPr>
      <w:fldChar w:fldCharType="separate"/>
    </w:r>
    <w:r>
      <w:rPr>
        <w:rStyle w:val="21"/>
      </w:rPr>
      <w:t>12</w:t>
    </w:r>
    <w:r>
      <w:rPr>
        <w:rStyle w:val="21"/>
      </w:rPr>
      <w:fldChar w:fldCharType="end"/>
    </w: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1"/>
      </w:rPr>
    </w:pPr>
    <w:r>
      <w:rPr>
        <w:rStyle w:val="21"/>
      </w:rPr>
      <w:fldChar w:fldCharType="begin"/>
    </w:r>
    <w:r>
      <w:rPr>
        <w:rStyle w:val="21"/>
      </w:rPr>
      <w:instrText xml:space="preserve">PAGE  </w:instrText>
    </w:r>
    <w:r>
      <w:rPr>
        <w:rStyle w:val="21"/>
      </w:rPr>
      <w:fldChar w:fldCharType="end"/>
    </w:r>
  </w:p>
  <w:p>
    <w:pPr>
      <w:pStyle w:val="1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1ZWYwN2M2NDI2MzM4NjQ1OTY4NmY4ZDRmYmIyZmQifQ=="/>
  </w:docVars>
  <w:rsids>
    <w:rsidRoot w:val="006E16A8"/>
    <w:rsid w:val="000010B8"/>
    <w:rsid w:val="0000292D"/>
    <w:rsid w:val="000036A5"/>
    <w:rsid w:val="00003A77"/>
    <w:rsid w:val="00010DBA"/>
    <w:rsid w:val="00011203"/>
    <w:rsid w:val="000343DA"/>
    <w:rsid w:val="00046CAC"/>
    <w:rsid w:val="00054CC1"/>
    <w:rsid w:val="00056499"/>
    <w:rsid w:val="00057FD2"/>
    <w:rsid w:val="00066B7B"/>
    <w:rsid w:val="000743F0"/>
    <w:rsid w:val="0007660B"/>
    <w:rsid w:val="00084C6C"/>
    <w:rsid w:val="00087D29"/>
    <w:rsid w:val="00087EAC"/>
    <w:rsid w:val="000912B4"/>
    <w:rsid w:val="000A7425"/>
    <w:rsid w:val="000C08FD"/>
    <w:rsid w:val="000C7337"/>
    <w:rsid w:val="000D371D"/>
    <w:rsid w:val="000E0911"/>
    <w:rsid w:val="000E1478"/>
    <w:rsid w:val="000E2505"/>
    <w:rsid w:val="000E2F48"/>
    <w:rsid w:val="000E4F63"/>
    <w:rsid w:val="000F3570"/>
    <w:rsid w:val="000F3C71"/>
    <w:rsid w:val="000F4C21"/>
    <w:rsid w:val="0010569F"/>
    <w:rsid w:val="0011125F"/>
    <w:rsid w:val="00112027"/>
    <w:rsid w:val="00121139"/>
    <w:rsid w:val="001225F8"/>
    <w:rsid w:val="0013312D"/>
    <w:rsid w:val="00140F85"/>
    <w:rsid w:val="00142CF4"/>
    <w:rsid w:val="001445BC"/>
    <w:rsid w:val="00150795"/>
    <w:rsid w:val="00150CA8"/>
    <w:rsid w:val="00154478"/>
    <w:rsid w:val="00154A0C"/>
    <w:rsid w:val="00154C65"/>
    <w:rsid w:val="00156367"/>
    <w:rsid w:val="00157DE3"/>
    <w:rsid w:val="0016705C"/>
    <w:rsid w:val="00187E0C"/>
    <w:rsid w:val="00192A66"/>
    <w:rsid w:val="001951F4"/>
    <w:rsid w:val="001A6D68"/>
    <w:rsid w:val="001C063A"/>
    <w:rsid w:val="001C3104"/>
    <w:rsid w:val="001C7F2C"/>
    <w:rsid w:val="001D13F3"/>
    <w:rsid w:val="001D3E46"/>
    <w:rsid w:val="001D4363"/>
    <w:rsid w:val="001E0ECC"/>
    <w:rsid w:val="001E1CEE"/>
    <w:rsid w:val="001E5F20"/>
    <w:rsid w:val="00200830"/>
    <w:rsid w:val="00204016"/>
    <w:rsid w:val="0021127C"/>
    <w:rsid w:val="002146F5"/>
    <w:rsid w:val="00225BB4"/>
    <w:rsid w:val="00227D69"/>
    <w:rsid w:val="002352ED"/>
    <w:rsid w:val="00240C17"/>
    <w:rsid w:val="002457D6"/>
    <w:rsid w:val="002472CB"/>
    <w:rsid w:val="00251BD6"/>
    <w:rsid w:val="0025399A"/>
    <w:rsid w:val="002557B7"/>
    <w:rsid w:val="00262558"/>
    <w:rsid w:val="002848B5"/>
    <w:rsid w:val="002849D2"/>
    <w:rsid w:val="0029288A"/>
    <w:rsid w:val="002931F8"/>
    <w:rsid w:val="00295959"/>
    <w:rsid w:val="002A3FD6"/>
    <w:rsid w:val="002A40B6"/>
    <w:rsid w:val="002A4EED"/>
    <w:rsid w:val="002A788F"/>
    <w:rsid w:val="002B1B9C"/>
    <w:rsid w:val="002B3E46"/>
    <w:rsid w:val="002C21AB"/>
    <w:rsid w:val="002C29CA"/>
    <w:rsid w:val="002C56A3"/>
    <w:rsid w:val="002C7182"/>
    <w:rsid w:val="002D15FB"/>
    <w:rsid w:val="002D4FEB"/>
    <w:rsid w:val="002D5B6E"/>
    <w:rsid w:val="002F3EC1"/>
    <w:rsid w:val="002F7183"/>
    <w:rsid w:val="00300FDC"/>
    <w:rsid w:val="00303551"/>
    <w:rsid w:val="00313956"/>
    <w:rsid w:val="00317BC5"/>
    <w:rsid w:val="0032023D"/>
    <w:rsid w:val="00322212"/>
    <w:rsid w:val="00327120"/>
    <w:rsid w:val="00327342"/>
    <w:rsid w:val="0033340D"/>
    <w:rsid w:val="00335E4F"/>
    <w:rsid w:val="00337182"/>
    <w:rsid w:val="003410DE"/>
    <w:rsid w:val="00343BA1"/>
    <w:rsid w:val="00345A86"/>
    <w:rsid w:val="00346A2B"/>
    <w:rsid w:val="00350F2D"/>
    <w:rsid w:val="0035458D"/>
    <w:rsid w:val="0035481A"/>
    <w:rsid w:val="00354CF0"/>
    <w:rsid w:val="00375918"/>
    <w:rsid w:val="00381852"/>
    <w:rsid w:val="0038500E"/>
    <w:rsid w:val="003856CE"/>
    <w:rsid w:val="0038795D"/>
    <w:rsid w:val="00387B67"/>
    <w:rsid w:val="003911CC"/>
    <w:rsid w:val="00394E72"/>
    <w:rsid w:val="00397A3C"/>
    <w:rsid w:val="003B3048"/>
    <w:rsid w:val="003D30D4"/>
    <w:rsid w:val="003E0973"/>
    <w:rsid w:val="003E2464"/>
    <w:rsid w:val="003E2E60"/>
    <w:rsid w:val="003E4ECC"/>
    <w:rsid w:val="003E5C3B"/>
    <w:rsid w:val="003E6A0C"/>
    <w:rsid w:val="003F1E2E"/>
    <w:rsid w:val="003F6B53"/>
    <w:rsid w:val="003F75EF"/>
    <w:rsid w:val="00400FAD"/>
    <w:rsid w:val="0040322D"/>
    <w:rsid w:val="0040659B"/>
    <w:rsid w:val="004067E7"/>
    <w:rsid w:val="00414803"/>
    <w:rsid w:val="00421B50"/>
    <w:rsid w:val="00421C94"/>
    <w:rsid w:val="00422E7A"/>
    <w:rsid w:val="00423530"/>
    <w:rsid w:val="00423E4F"/>
    <w:rsid w:val="004259FC"/>
    <w:rsid w:val="00426411"/>
    <w:rsid w:val="004304A8"/>
    <w:rsid w:val="00430509"/>
    <w:rsid w:val="004366F4"/>
    <w:rsid w:val="00442BA5"/>
    <w:rsid w:val="00444728"/>
    <w:rsid w:val="0044772E"/>
    <w:rsid w:val="004517E5"/>
    <w:rsid w:val="00460FBB"/>
    <w:rsid w:val="004651A6"/>
    <w:rsid w:val="004672B9"/>
    <w:rsid w:val="004710DD"/>
    <w:rsid w:val="00472FC9"/>
    <w:rsid w:val="00473CFC"/>
    <w:rsid w:val="004A3690"/>
    <w:rsid w:val="004A44C9"/>
    <w:rsid w:val="004A5777"/>
    <w:rsid w:val="004A6BE2"/>
    <w:rsid w:val="004B14C8"/>
    <w:rsid w:val="004B2966"/>
    <w:rsid w:val="004B465D"/>
    <w:rsid w:val="004B4977"/>
    <w:rsid w:val="004B58C6"/>
    <w:rsid w:val="004C0D4C"/>
    <w:rsid w:val="004C6405"/>
    <w:rsid w:val="004D3963"/>
    <w:rsid w:val="004D4609"/>
    <w:rsid w:val="004D740D"/>
    <w:rsid w:val="004E44D8"/>
    <w:rsid w:val="004F0436"/>
    <w:rsid w:val="004F78E2"/>
    <w:rsid w:val="00501871"/>
    <w:rsid w:val="00516936"/>
    <w:rsid w:val="00522B5C"/>
    <w:rsid w:val="0054201A"/>
    <w:rsid w:val="00555159"/>
    <w:rsid w:val="00564669"/>
    <w:rsid w:val="00565664"/>
    <w:rsid w:val="00565AED"/>
    <w:rsid w:val="005660FD"/>
    <w:rsid w:val="00566A82"/>
    <w:rsid w:val="0058438D"/>
    <w:rsid w:val="005843B6"/>
    <w:rsid w:val="0059219F"/>
    <w:rsid w:val="005A6197"/>
    <w:rsid w:val="005B0CB1"/>
    <w:rsid w:val="005B3EFD"/>
    <w:rsid w:val="005B49D1"/>
    <w:rsid w:val="005B7A85"/>
    <w:rsid w:val="005D2E6F"/>
    <w:rsid w:val="005D4029"/>
    <w:rsid w:val="005D5383"/>
    <w:rsid w:val="005E158B"/>
    <w:rsid w:val="005E1992"/>
    <w:rsid w:val="005E6074"/>
    <w:rsid w:val="005E674A"/>
    <w:rsid w:val="005F66AF"/>
    <w:rsid w:val="005F7612"/>
    <w:rsid w:val="00603660"/>
    <w:rsid w:val="006178AF"/>
    <w:rsid w:val="00626766"/>
    <w:rsid w:val="00640AAE"/>
    <w:rsid w:val="00651E41"/>
    <w:rsid w:val="00653173"/>
    <w:rsid w:val="00670560"/>
    <w:rsid w:val="00674603"/>
    <w:rsid w:val="006825F3"/>
    <w:rsid w:val="00682CCD"/>
    <w:rsid w:val="006879A8"/>
    <w:rsid w:val="006A543B"/>
    <w:rsid w:val="006B5010"/>
    <w:rsid w:val="006B668E"/>
    <w:rsid w:val="006C1DD0"/>
    <w:rsid w:val="006C65C5"/>
    <w:rsid w:val="006D3FC0"/>
    <w:rsid w:val="006D694A"/>
    <w:rsid w:val="006E16A8"/>
    <w:rsid w:val="006F44A8"/>
    <w:rsid w:val="0070541D"/>
    <w:rsid w:val="007058E8"/>
    <w:rsid w:val="00710E12"/>
    <w:rsid w:val="0071104B"/>
    <w:rsid w:val="007111CF"/>
    <w:rsid w:val="00711429"/>
    <w:rsid w:val="0072062A"/>
    <w:rsid w:val="00720F34"/>
    <w:rsid w:val="00725311"/>
    <w:rsid w:val="0072597E"/>
    <w:rsid w:val="007307D2"/>
    <w:rsid w:val="00730CFE"/>
    <w:rsid w:val="00735085"/>
    <w:rsid w:val="00737332"/>
    <w:rsid w:val="00743AB6"/>
    <w:rsid w:val="007450BA"/>
    <w:rsid w:val="00745347"/>
    <w:rsid w:val="00746A5D"/>
    <w:rsid w:val="00751DB9"/>
    <w:rsid w:val="0075667D"/>
    <w:rsid w:val="0076540D"/>
    <w:rsid w:val="00771CB2"/>
    <w:rsid w:val="0077354F"/>
    <w:rsid w:val="00776B93"/>
    <w:rsid w:val="00777D4F"/>
    <w:rsid w:val="00781221"/>
    <w:rsid w:val="007961B0"/>
    <w:rsid w:val="007A6E27"/>
    <w:rsid w:val="007B28B2"/>
    <w:rsid w:val="007C026E"/>
    <w:rsid w:val="007C0ACA"/>
    <w:rsid w:val="007C3033"/>
    <w:rsid w:val="007C7C86"/>
    <w:rsid w:val="007D49E4"/>
    <w:rsid w:val="007D4F66"/>
    <w:rsid w:val="007E616B"/>
    <w:rsid w:val="007F7635"/>
    <w:rsid w:val="008021F0"/>
    <w:rsid w:val="008078C7"/>
    <w:rsid w:val="00812654"/>
    <w:rsid w:val="008205F1"/>
    <w:rsid w:val="0083078F"/>
    <w:rsid w:val="008317C1"/>
    <w:rsid w:val="00833C03"/>
    <w:rsid w:val="008524A9"/>
    <w:rsid w:val="00853143"/>
    <w:rsid w:val="008537B7"/>
    <w:rsid w:val="00864B16"/>
    <w:rsid w:val="008653A2"/>
    <w:rsid w:val="00875159"/>
    <w:rsid w:val="008803FD"/>
    <w:rsid w:val="008857B6"/>
    <w:rsid w:val="00890449"/>
    <w:rsid w:val="00893280"/>
    <w:rsid w:val="00895D21"/>
    <w:rsid w:val="008A157E"/>
    <w:rsid w:val="008A170C"/>
    <w:rsid w:val="008B2CA9"/>
    <w:rsid w:val="008B4758"/>
    <w:rsid w:val="008B4E61"/>
    <w:rsid w:val="008B59F2"/>
    <w:rsid w:val="008B5A92"/>
    <w:rsid w:val="008C3273"/>
    <w:rsid w:val="008D65FA"/>
    <w:rsid w:val="008F0FBA"/>
    <w:rsid w:val="008F6541"/>
    <w:rsid w:val="008F6AF0"/>
    <w:rsid w:val="00927B63"/>
    <w:rsid w:val="00931DE9"/>
    <w:rsid w:val="00933C7C"/>
    <w:rsid w:val="00937225"/>
    <w:rsid w:val="00937B86"/>
    <w:rsid w:val="00940FCF"/>
    <w:rsid w:val="00951B3C"/>
    <w:rsid w:val="00957157"/>
    <w:rsid w:val="00962DB0"/>
    <w:rsid w:val="00972C3B"/>
    <w:rsid w:val="00974618"/>
    <w:rsid w:val="009752E2"/>
    <w:rsid w:val="00975CD1"/>
    <w:rsid w:val="00977BAF"/>
    <w:rsid w:val="00981E18"/>
    <w:rsid w:val="009834D7"/>
    <w:rsid w:val="00985D20"/>
    <w:rsid w:val="00995098"/>
    <w:rsid w:val="009B7D01"/>
    <w:rsid w:val="009C14E2"/>
    <w:rsid w:val="009C2D21"/>
    <w:rsid w:val="009C6250"/>
    <w:rsid w:val="009C6847"/>
    <w:rsid w:val="009E09F0"/>
    <w:rsid w:val="009E24C9"/>
    <w:rsid w:val="009E529D"/>
    <w:rsid w:val="009F101D"/>
    <w:rsid w:val="009F1EEE"/>
    <w:rsid w:val="009F26C9"/>
    <w:rsid w:val="009F6589"/>
    <w:rsid w:val="00A102E9"/>
    <w:rsid w:val="00A1141A"/>
    <w:rsid w:val="00A12180"/>
    <w:rsid w:val="00A16585"/>
    <w:rsid w:val="00A20AC5"/>
    <w:rsid w:val="00A27AA6"/>
    <w:rsid w:val="00A31B04"/>
    <w:rsid w:val="00A31B44"/>
    <w:rsid w:val="00A329A6"/>
    <w:rsid w:val="00A35966"/>
    <w:rsid w:val="00A36D96"/>
    <w:rsid w:val="00A4515B"/>
    <w:rsid w:val="00A46008"/>
    <w:rsid w:val="00A514FD"/>
    <w:rsid w:val="00A52EDA"/>
    <w:rsid w:val="00A554B4"/>
    <w:rsid w:val="00A61564"/>
    <w:rsid w:val="00A70644"/>
    <w:rsid w:val="00A70BA9"/>
    <w:rsid w:val="00A71303"/>
    <w:rsid w:val="00A820F4"/>
    <w:rsid w:val="00A846DC"/>
    <w:rsid w:val="00A84A1E"/>
    <w:rsid w:val="00A861B6"/>
    <w:rsid w:val="00A867E0"/>
    <w:rsid w:val="00A87DBE"/>
    <w:rsid w:val="00A91A4C"/>
    <w:rsid w:val="00A93827"/>
    <w:rsid w:val="00AA198E"/>
    <w:rsid w:val="00AA45F1"/>
    <w:rsid w:val="00AA55AB"/>
    <w:rsid w:val="00AB2597"/>
    <w:rsid w:val="00AB4D01"/>
    <w:rsid w:val="00AD1CA3"/>
    <w:rsid w:val="00AE4B80"/>
    <w:rsid w:val="00AE5E5E"/>
    <w:rsid w:val="00AE760E"/>
    <w:rsid w:val="00AF1C0C"/>
    <w:rsid w:val="00AF2595"/>
    <w:rsid w:val="00AF390D"/>
    <w:rsid w:val="00AF4368"/>
    <w:rsid w:val="00AF6972"/>
    <w:rsid w:val="00AF6F05"/>
    <w:rsid w:val="00AF7E27"/>
    <w:rsid w:val="00B0632D"/>
    <w:rsid w:val="00B06DA5"/>
    <w:rsid w:val="00B156CB"/>
    <w:rsid w:val="00B24B6C"/>
    <w:rsid w:val="00B25AFA"/>
    <w:rsid w:val="00B26592"/>
    <w:rsid w:val="00B33552"/>
    <w:rsid w:val="00B46F73"/>
    <w:rsid w:val="00B50538"/>
    <w:rsid w:val="00B51EDD"/>
    <w:rsid w:val="00B56B4A"/>
    <w:rsid w:val="00B60F2B"/>
    <w:rsid w:val="00B63F0A"/>
    <w:rsid w:val="00B70E1D"/>
    <w:rsid w:val="00B71823"/>
    <w:rsid w:val="00B753D6"/>
    <w:rsid w:val="00B77F59"/>
    <w:rsid w:val="00B804D1"/>
    <w:rsid w:val="00B81E30"/>
    <w:rsid w:val="00B8526C"/>
    <w:rsid w:val="00B917B2"/>
    <w:rsid w:val="00B942FA"/>
    <w:rsid w:val="00BB0C7A"/>
    <w:rsid w:val="00BB21EB"/>
    <w:rsid w:val="00BB6A3F"/>
    <w:rsid w:val="00BB6C2D"/>
    <w:rsid w:val="00BB7701"/>
    <w:rsid w:val="00BD1DE6"/>
    <w:rsid w:val="00BD5FFB"/>
    <w:rsid w:val="00BE2BC3"/>
    <w:rsid w:val="00BE504C"/>
    <w:rsid w:val="00BE67D0"/>
    <w:rsid w:val="00BE6D95"/>
    <w:rsid w:val="00BE794E"/>
    <w:rsid w:val="00BF08B4"/>
    <w:rsid w:val="00BF7D41"/>
    <w:rsid w:val="00C062D9"/>
    <w:rsid w:val="00C11722"/>
    <w:rsid w:val="00C11E76"/>
    <w:rsid w:val="00C17621"/>
    <w:rsid w:val="00C23094"/>
    <w:rsid w:val="00C23EDD"/>
    <w:rsid w:val="00C27B8C"/>
    <w:rsid w:val="00C27F7B"/>
    <w:rsid w:val="00C318D6"/>
    <w:rsid w:val="00C33ADB"/>
    <w:rsid w:val="00C34452"/>
    <w:rsid w:val="00C41289"/>
    <w:rsid w:val="00C435F0"/>
    <w:rsid w:val="00C44698"/>
    <w:rsid w:val="00C46B72"/>
    <w:rsid w:val="00C50095"/>
    <w:rsid w:val="00C537D8"/>
    <w:rsid w:val="00C53E32"/>
    <w:rsid w:val="00C57566"/>
    <w:rsid w:val="00C57FF0"/>
    <w:rsid w:val="00C6307F"/>
    <w:rsid w:val="00C75589"/>
    <w:rsid w:val="00C76AF0"/>
    <w:rsid w:val="00C77E3A"/>
    <w:rsid w:val="00C84349"/>
    <w:rsid w:val="00C923BF"/>
    <w:rsid w:val="00C93B4A"/>
    <w:rsid w:val="00C950CA"/>
    <w:rsid w:val="00CA3FB5"/>
    <w:rsid w:val="00CA5C4B"/>
    <w:rsid w:val="00CA75CB"/>
    <w:rsid w:val="00CB1EA4"/>
    <w:rsid w:val="00CB2AA5"/>
    <w:rsid w:val="00CB3B3B"/>
    <w:rsid w:val="00CB69D6"/>
    <w:rsid w:val="00CB7949"/>
    <w:rsid w:val="00CC0391"/>
    <w:rsid w:val="00CC7CCF"/>
    <w:rsid w:val="00CD0ADD"/>
    <w:rsid w:val="00CE7431"/>
    <w:rsid w:val="00CF1D61"/>
    <w:rsid w:val="00CF304C"/>
    <w:rsid w:val="00D00112"/>
    <w:rsid w:val="00D13DEF"/>
    <w:rsid w:val="00D218B5"/>
    <w:rsid w:val="00D25C6F"/>
    <w:rsid w:val="00D26286"/>
    <w:rsid w:val="00D2672F"/>
    <w:rsid w:val="00D3071C"/>
    <w:rsid w:val="00D30A12"/>
    <w:rsid w:val="00D30ED8"/>
    <w:rsid w:val="00D3563F"/>
    <w:rsid w:val="00D365F9"/>
    <w:rsid w:val="00D45A4A"/>
    <w:rsid w:val="00D4676B"/>
    <w:rsid w:val="00D52340"/>
    <w:rsid w:val="00D53A4D"/>
    <w:rsid w:val="00D57F6A"/>
    <w:rsid w:val="00D63219"/>
    <w:rsid w:val="00D641A5"/>
    <w:rsid w:val="00D65008"/>
    <w:rsid w:val="00D6758D"/>
    <w:rsid w:val="00D71B0E"/>
    <w:rsid w:val="00D8346F"/>
    <w:rsid w:val="00D85689"/>
    <w:rsid w:val="00D86FFB"/>
    <w:rsid w:val="00D87F14"/>
    <w:rsid w:val="00D909BC"/>
    <w:rsid w:val="00DA05C3"/>
    <w:rsid w:val="00DA239A"/>
    <w:rsid w:val="00DA46CC"/>
    <w:rsid w:val="00DA5F78"/>
    <w:rsid w:val="00DB005B"/>
    <w:rsid w:val="00DB3BB0"/>
    <w:rsid w:val="00DB5498"/>
    <w:rsid w:val="00DC01B7"/>
    <w:rsid w:val="00DC1493"/>
    <w:rsid w:val="00DC302C"/>
    <w:rsid w:val="00DC4032"/>
    <w:rsid w:val="00DC57FF"/>
    <w:rsid w:val="00DE15C6"/>
    <w:rsid w:val="00DE33DB"/>
    <w:rsid w:val="00DE70FD"/>
    <w:rsid w:val="00DF6053"/>
    <w:rsid w:val="00DF6E3C"/>
    <w:rsid w:val="00E004E5"/>
    <w:rsid w:val="00E045C4"/>
    <w:rsid w:val="00E065B9"/>
    <w:rsid w:val="00E17BFA"/>
    <w:rsid w:val="00E20158"/>
    <w:rsid w:val="00E22025"/>
    <w:rsid w:val="00E33730"/>
    <w:rsid w:val="00E342BD"/>
    <w:rsid w:val="00E362F6"/>
    <w:rsid w:val="00E37A4C"/>
    <w:rsid w:val="00E42149"/>
    <w:rsid w:val="00E436C0"/>
    <w:rsid w:val="00E46FA2"/>
    <w:rsid w:val="00E510E1"/>
    <w:rsid w:val="00E51C4D"/>
    <w:rsid w:val="00E52DA9"/>
    <w:rsid w:val="00E6215E"/>
    <w:rsid w:val="00E646AC"/>
    <w:rsid w:val="00E76F73"/>
    <w:rsid w:val="00E81B8E"/>
    <w:rsid w:val="00E846FF"/>
    <w:rsid w:val="00E91857"/>
    <w:rsid w:val="00E94826"/>
    <w:rsid w:val="00EA0C6F"/>
    <w:rsid w:val="00EA2E03"/>
    <w:rsid w:val="00EC4F5B"/>
    <w:rsid w:val="00ED1249"/>
    <w:rsid w:val="00EE2E3E"/>
    <w:rsid w:val="00EF604C"/>
    <w:rsid w:val="00EF68B3"/>
    <w:rsid w:val="00F051CA"/>
    <w:rsid w:val="00F07409"/>
    <w:rsid w:val="00F12545"/>
    <w:rsid w:val="00F1446A"/>
    <w:rsid w:val="00F1678B"/>
    <w:rsid w:val="00F20418"/>
    <w:rsid w:val="00F20B3F"/>
    <w:rsid w:val="00F213C8"/>
    <w:rsid w:val="00F234D5"/>
    <w:rsid w:val="00F244A2"/>
    <w:rsid w:val="00F2464D"/>
    <w:rsid w:val="00F365A3"/>
    <w:rsid w:val="00F3685A"/>
    <w:rsid w:val="00F425DB"/>
    <w:rsid w:val="00F4741E"/>
    <w:rsid w:val="00F4776E"/>
    <w:rsid w:val="00F5397F"/>
    <w:rsid w:val="00F60A70"/>
    <w:rsid w:val="00F62BD9"/>
    <w:rsid w:val="00F65526"/>
    <w:rsid w:val="00F67910"/>
    <w:rsid w:val="00F7061B"/>
    <w:rsid w:val="00F72940"/>
    <w:rsid w:val="00F73417"/>
    <w:rsid w:val="00F7352D"/>
    <w:rsid w:val="00F752F4"/>
    <w:rsid w:val="00F80E82"/>
    <w:rsid w:val="00F830D1"/>
    <w:rsid w:val="00F8735F"/>
    <w:rsid w:val="00F9267D"/>
    <w:rsid w:val="00F9269D"/>
    <w:rsid w:val="00F933FA"/>
    <w:rsid w:val="00F95B72"/>
    <w:rsid w:val="00FA1D34"/>
    <w:rsid w:val="00FA408C"/>
    <w:rsid w:val="00FB1851"/>
    <w:rsid w:val="00FB3504"/>
    <w:rsid w:val="00FB3FFA"/>
    <w:rsid w:val="00FC7B6E"/>
    <w:rsid w:val="00FD0B26"/>
    <w:rsid w:val="00FE0904"/>
    <w:rsid w:val="00FE44B2"/>
    <w:rsid w:val="00FE51D3"/>
    <w:rsid w:val="00FE5C61"/>
    <w:rsid w:val="00FE63A3"/>
    <w:rsid w:val="00FF65F2"/>
    <w:rsid w:val="00FF7047"/>
    <w:rsid w:val="0EEC3094"/>
    <w:rsid w:val="134F5EFD"/>
    <w:rsid w:val="17342D8E"/>
    <w:rsid w:val="1A164A81"/>
    <w:rsid w:val="1E071A25"/>
    <w:rsid w:val="1F2639AE"/>
    <w:rsid w:val="1FD56E37"/>
    <w:rsid w:val="22AF4C8E"/>
    <w:rsid w:val="28C42B1C"/>
    <w:rsid w:val="2C6C5ABC"/>
    <w:rsid w:val="32191CE2"/>
    <w:rsid w:val="35CA7140"/>
    <w:rsid w:val="3864106E"/>
    <w:rsid w:val="45864824"/>
    <w:rsid w:val="47D96019"/>
    <w:rsid w:val="486A1C1D"/>
    <w:rsid w:val="498547BE"/>
    <w:rsid w:val="4D16614B"/>
    <w:rsid w:val="4E8252B5"/>
    <w:rsid w:val="4FE942D0"/>
    <w:rsid w:val="52534ABE"/>
    <w:rsid w:val="53973EAD"/>
    <w:rsid w:val="54DC15F3"/>
    <w:rsid w:val="56AF5889"/>
    <w:rsid w:val="5A37361F"/>
    <w:rsid w:val="5C147B49"/>
    <w:rsid w:val="5F641E83"/>
    <w:rsid w:val="634113EB"/>
    <w:rsid w:val="659A372F"/>
    <w:rsid w:val="707222F7"/>
    <w:rsid w:val="70940B7B"/>
    <w:rsid w:val="71B34AB7"/>
    <w:rsid w:val="72453FBE"/>
    <w:rsid w:val="73CA1CF9"/>
    <w:rsid w:val="742B7570"/>
    <w:rsid w:val="746F738F"/>
    <w:rsid w:val="77D85676"/>
    <w:rsid w:val="79570DFF"/>
    <w:rsid w:val="7C6453C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after="260" w:line="416" w:lineRule="auto"/>
      <w:outlineLvl w:val="2"/>
    </w:pPr>
    <w:rPr>
      <w:b/>
      <w:bCs/>
      <w:sz w:val="32"/>
      <w:szCs w:val="32"/>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5">
    <w:name w:val="Document Map"/>
    <w:basedOn w:val="1"/>
    <w:link w:val="30"/>
    <w:qFormat/>
    <w:uiPriority w:val="0"/>
    <w:rPr>
      <w:rFonts w:ascii="宋体"/>
      <w:sz w:val="18"/>
      <w:szCs w:val="18"/>
    </w:rPr>
  </w:style>
  <w:style w:type="paragraph" w:styleId="6">
    <w:name w:val="annotation text"/>
    <w:basedOn w:val="1"/>
    <w:link w:val="31"/>
    <w:qFormat/>
    <w:uiPriority w:val="0"/>
    <w:pPr>
      <w:jc w:val="left"/>
    </w:pPr>
  </w:style>
  <w:style w:type="paragraph" w:styleId="7">
    <w:name w:val="Body Text"/>
    <w:basedOn w:val="1"/>
    <w:qFormat/>
    <w:uiPriority w:val="0"/>
    <w:pPr>
      <w:jc w:val="center"/>
    </w:pPr>
    <w:rPr>
      <w:rFonts w:eastAsia="黑体"/>
      <w:sz w:val="36"/>
    </w:rPr>
  </w:style>
  <w:style w:type="paragraph" w:styleId="8">
    <w:name w:val="toc 3"/>
    <w:basedOn w:val="1"/>
    <w:next w:val="1"/>
    <w:semiHidden/>
    <w:qFormat/>
    <w:uiPriority w:val="0"/>
    <w:pPr>
      <w:ind w:left="840" w:leftChars="400"/>
    </w:pPr>
  </w:style>
  <w:style w:type="paragraph" w:styleId="9">
    <w:name w:val="Date"/>
    <w:basedOn w:val="1"/>
    <w:next w:val="1"/>
    <w:qFormat/>
    <w:uiPriority w:val="0"/>
    <w:pPr>
      <w:ind w:left="100" w:leftChars="2500"/>
    </w:pPr>
  </w:style>
  <w:style w:type="paragraph" w:styleId="10">
    <w:name w:val="Body Text Indent 2"/>
    <w:basedOn w:val="1"/>
    <w:qFormat/>
    <w:uiPriority w:val="0"/>
    <w:pPr>
      <w:spacing w:after="120" w:line="480" w:lineRule="auto"/>
      <w:ind w:left="420" w:leftChars="200"/>
    </w:pPr>
  </w:style>
  <w:style w:type="paragraph" w:styleId="11">
    <w:name w:val="Balloon Text"/>
    <w:basedOn w:val="1"/>
    <w:semiHidden/>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39"/>
  </w:style>
  <w:style w:type="paragraph" w:styleId="15">
    <w:name w:val="toc 2"/>
    <w:basedOn w:val="1"/>
    <w:next w:val="1"/>
    <w:qFormat/>
    <w:uiPriority w:val="39"/>
    <w:pPr>
      <w:ind w:left="420" w:leftChars="200"/>
    </w:pPr>
  </w:style>
  <w:style w:type="paragraph" w:styleId="16">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17">
    <w:name w:val="Normal (Web)"/>
    <w:basedOn w:val="1"/>
    <w:qFormat/>
    <w:uiPriority w:val="0"/>
    <w:pPr>
      <w:widowControl/>
      <w:spacing w:before="100" w:beforeAutospacing="1" w:after="100" w:afterAutospacing="1"/>
      <w:jc w:val="left"/>
    </w:pPr>
    <w:rPr>
      <w:rFonts w:ascii="宋体" w:hAnsi="宋体"/>
      <w:kern w:val="0"/>
      <w:sz w:val="24"/>
    </w:rPr>
  </w:style>
  <w:style w:type="paragraph" w:styleId="18">
    <w:name w:val="annotation subject"/>
    <w:basedOn w:val="6"/>
    <w:next w:val="6"/>
    <w:link w:val="32"/>
    <w:qFormat/>
    <w:uiPriority w:val="0"/>
    <w:rPr>
      <w:b/>
      <w:bCs/>
    </w:rPr>
  </w:style>
  <w:style w:type="character" w:styleId="21">
    <w:name w:val="page number"/>
    <w:basedOn w:val="20"/>
    <w:qFormat/>
    <w:uiPriority w:val="0"/>
  </w:style>
  <w:style w:type="character" w:styleId="22">
    <w:name w:val="Hyperlink"/>
    <w:basedOn w:val="20"/>
    <w:qFormat/>
    <w:uiPriority w:val="99"/>
    <w:rPr>
      <w:color w:val="0000FF"/>
      <w:u w:val="single"/>
    </w:rPr>
  </w:style>
  <w:style w:type="character" w:styleId="23">
    <w:name w:val="annotation reference"/>
    <w:basedOn w:val="20"/>
    <w:qFormat/>
    <w:uiPriority w:val="0"/>
    <w:rPr>
      <w:sz w:val="21"/>
      <w:szCs w:val="21"/>
    </w:rPr>
  </w:style>
  <w:style w:type="paragraph" w:customStyle="1" w:styleId="24">
    <w:name w:val="Char Char Char Char Char Char Char"/>
    <w:basedOn w:val="1"/>
    <w:qFormat/>
    <w:uiPriority w:val="0"/>
    <w:pPr>
      <w:widowControl/>
      <w:spacing w:after="160" w:line="240" w:lineRule="exact"/>
      <w:jc w:val="left"/>
    </w:pPr>
    <w:rPr>
      <w:rFonts w:ascii="Verdana" w:hAnsi="Verdana" w:cs="Verdana"/>
      <w:kern w:val="0"/>
      <w:sz w:val="20"/>
      <w:szCs w:val="20"/>
      <w:lang w:eastAsia="en-US"/>
    </w:rPr>
  </w:style>
  <w:style w:type="paragraph" w:customStyle="1" w:styleId="25">
    <w:name w:val="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26">
    <w:name w:val="Char1"/>
    <w:basedOn w:val="1"/>
    <w:qFormat/>
    <w:uiPriority w:val="0"/>
    <w:pPr>
      <w:widowControl/>
      <w:jc w:val="left"/>
    </w:pPr>
    <w:rPr>
      <w:kern w:val="0"/>
      <w:sz w:val="20"/>
      <w:szCs w:val="20"/>
    </w:rPr>
  </w:style>
  <w:style w:type="character" w:customStyle="1" w:styleId="27">
    <w:name w:val="default1"/>
    <w:basedOn w:val="20"/>
    <w:qFormat/>
    <w:uiPriority w:val="0"/>
    <w:rPr>
      <w:sz w:val="21"/>
      <w:szCs w:val="21"/>
      <w:lang w:val="zh-CN"/>
    </w:rPr>
  </w:style>
  <w:style w:type="paragraph" w:customStyle="1" w:styleId="28">
    <w:name w:val="Char2"/>
    <w:basedOn w:val="1"/>
    <w:qFormat/>
    <w:uiPriority w:val="0"/>
  </w:style>
  <w:style w:type="paragraph" w:customStyle="1" w:styleId="29">
    <w:name w:val="列出段落1"/>
    <w:basedOn w:val="1"/>
    <w:qFormat/>
    <w:uiPriority w:val="34"/>
    <w:pPr>
      <w:ind w:firstLine="420" w:firstLineChars="200"/>
    </w:pPr>
  </w:style>
  <w:style w:type="character" w:customStyle="1" w:styleId="30">
    <w:name w:val="文档结构图 Char"/>
    <w:basedOn w:val="20"/>
    <w:link w:val="5"/>
    <w:qFormat/>
    <w:uiPriority w:val="0"/>
    <w:rPr>
      <w:rFonts w:ascii="宋体"/>
      <w:kern w:val="2"/>
      <w:sz w:val="18"/>
      <w:szCs w:val="18"/>
    </w:rPr>
  </w:style>
  <w:style w:type="character" w:customStyle="1" w:styleId="31">
    <w:name w:val="批注文字 Char"/>
    <w:basedOn w:val="20"/>
    <w:link w:val="6"/>
    <w:qFormat/>
    <w:uiPriority w:val="0"/>
    <w:rPr>
      <w:kern w:val="2"/>
      <w:sz w:val="21"/>
      <w:szCs w:val="24"/>
    </w:rPr>
  </w:style>
  <w:style w:type="character" w:customStyle="1" w:styleId="32">
    <w:name w:val="批注主题 Char"/>
    <w:basedOn w:val="31"/>
    <w:link w:val="18"/>
    <w:qFormat/>
    <w:uiPriority w:val="0"/>
    <w:rPr>
      <w:kern w:val="2"/>
      <w:sz w:val="21"/>
      <w:szCs w:val="24"/>
    </w:rPr>
  </w:style>
  <w:style w:type="paragraph" w:customStyle="1" w:styleId="33">
    <w:name w:val="修订1"/>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CDB973-463E-44DB-9283-22B33A3C5CEB}">
  <ds:schemaRefs/>
</ds:datastoreItem>
</file>

<file path=docProps/app.xml><?xml version="1.0" encoding="utf-8"?>
<Properties xmlns="http://schemas.openxmlformats.org/officeDocument/2006/extended-properties" xmlns:vt="http://schemas.openxmlformats.org/officeDocument/2006/docPropsVTypes">
  <Template>Normal</Template>
  <Company>jushi</Company>
  <Pages>12</Pages>
  <Words>6604</Words>
  <Characters>6669</Characters>
  <Lines>54</Lines>
  <Paragraphs>15</Paragraphs>
  <TotalTime>20</TotalTime>
  <ScaleCrop>false</ScaleCrop>
  <LinksUpToDate>false</LinksUpToDate>
  <CharactersWithSpaces>6705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2015-10-12T01:18:00Z</dcterms:created>
  <dc:creator>yuda</dc:creator>
  <cp:lastModifiedBy>三儿</cp:lastModifiedBy>
  <cp:lastPrinted>2016-12-01T08:30:00Z</cp:lastPrinted>
  <dcterms:modified xsi:type="dcterms:W3CDTF">2024-07-03T01:25:05Z</dcterms:modified>
  <dc:title>关于召开2003年度股东大会的议案</dc:title>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MTUseMTPrefs">
    <vt:lpwstr>1</vt:lpwstr>
  </property>
  <property fmtid="{D5CDD505-2E9C-101B-9397-08002B2CF9AE}" pid="4" name="KSOProductBuildVer">
    <vt:lpwstr>2052-12.1.0.16929</vt:lpwstr>
  </property>
  <property fmtid="{D5CDD505-2E9C-101B-9397-08002B2CF9AE}" pid="5" name="ICV">
    <vt:lpwstr>F38AE1816655482DBE7C27C35B30D6C9_13</vt:lpwstr>
  </property>
</Properties>
</file>